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EC573" w14:textId="2EE58050" w:rsidR="0014091D" w:rsidRDefault="0014091D" w:rsidP="0014091D">
      <w:pPr>
        <w:spacing w:line="276" w:lineRule="auto"/>
        <w:jc w:val="right"/>
        <w:rPr>
          <w:rFonts w:asciiTheme="minorHAnsi" w:hAnsiTheme="minorHAnsi" w:cstheme="minorHAnsi"/>
          <w:b/>
          <w:sz w:val="20"/>
          <w:szCs w:val="20"/>
        </w:rPr>
      </w:pPr>
      <w:r>
        <w:rPr>
          <w:rFonts w:asciiTheme="minorHAnsi" w:hAnsiTheme="minorHAnsi" w:cstheme="minorHAnsi"/>
          <w:b/>
          <w:sz w:val="20"/>
          <w:szCs w:val="20"/>
        </w:rPr>
        <w:t>Załącznik nr 5 do SWZ</w:t>
      </w:r>
    </w:p>
    <w:p w14:paraId="583BB42F" w14:textId="77777777" w:rsidR="0014091D" w:rsidRDefault="0014091D" w:rsidP="00CD06CF">
      <w:pPr>
        <w:spacing w:line="276" w:lineRule="auto"/>
        <w:jc w:val="center"/>
        <w:rPr>
          <w:rFonts w:asciiTheme="minorHAnsi" w:hAnsiTheme="minorHAnsi" w:cstheme="minorHAnsi"/>
          <w:b/>
          <w:sz w:val="20"/>
          <w:szCs w:val="20"/>
        </w:rPr>
      </w:pPr>
    </w:p>
    <w:p w14:paraId="7044E2AE" w14:textId="20D9A27F" w:rsidR="0041172C" w:rsidRPr="0034594B" w:rsidRDefault="0041172C" w:rsidP="00CD06CF">
      <w:pPr>
        <w:spacing w:line="276" w:lineRule="auto"/>
        <w:jc w:val="center"/>
        <w:rPr>
          <w:rFonts w:asciiTheme="minorHAnsi" w:hAnsiTheme="minorHAnsi" w:cstheme="minorHAnsi"/>
          <w:b/>
          <w:sz w:val="20"/>
          <w:szCs w:val="20"/>
        </w:rPr>
      </w:pPr>
      <w:r w:rsidRPr="0034594B">
        <w:rPr>
          <w:rFonts w:asciiTheme="minorHAnsi" w:hAnsiTheme="minorHAnsi" w:cstheme="minorHAnsi"/>
          <w:b/>
          <w:sz w:val="20"/>
          <w:szCs w:val="20"/>
        </w:rPr>
        <w:t xml:space="preserve">CZĘŚĆ </w:t>
      </w:r>
      <w:r w:rsidR="00D27B7D" w:rsidRPr="0034594B">
        <w:rPr>
          <w:rFonts w:asciiTheme="minorHAnsi" w:hAnsiTheme="minorHAnsi" w:cstheme="minorHAnsi"/>
          <w:b/>
          <w:sz w:val="20"/>
          <w:szCs w:val="20"/>
        </w:rPr>
        <w:t>I</w:t>
      </w:r>
    </w:p>
    <w:p w14:paraId="1DB91C68" w14:textId="77777777" w:rsidR="0041172C" w:rsidRPr="0034594B" w:rsidRDefault="0041172C" w:rsidP="00CD06CF">
      <w:pPr>
        <w:spacing w:line="276" w:lineRule="auto"/>
        <w:jc w:val="center"/>
        <w:rPr>
          <w:rFonts w:asciiTheme="minorHAnsi" w:hAnsiTheme="minorHAnsi" w:cstheme="minorHAnsi"/>
          <w:b/>
          <w:i/>
          <w:sz w:val="20"/>
          <w:szCs w:val="20"/>
        </w:rPr>
      </w:pPr>
      <w:r w:rsidRPr="0034594B">
        <w:rPr>
          <w:rFonts w:asciiTheme="minorHAnsi" w:hAnsiTheme="minorHAnsi" w:cstheme="minorHAnsi"/>
          <w:b/>
          <w:i/>
          <w:sz w:val="20"/>
          <w:szCs w:val="20"/>
        </w:rPr>
        <w:t>UBEZPIECZENIA KOMUNIKACYJNE</w:t>
      </w:r>
    </w:p>
    <w:p w14:paraId="61838A89" w14:textId="2F6EC84C" w:rsidR="0041172C" w:rsidRPr="0034594B" w:rsidRDefault="0041172C" w:rsidP="00CD06CF">
      <w:pPr>
        <w:spacing w:line="276" w:lineRule="auto"/>
        <w:rPr>
          <w:rFonts w:asciiTheme="minorHAnsi" w:hAnsiTheme="minorHAnsi" w:cstheme="minorHAnsi"/>
          <w:b/>
          <w:i/>
          <w:sz w:val="20"/>
          <w:szCs w:val="20"/>
        </w:rPr>
      </w:pPr>
    </w:p>
    <w:p w14:paraId="4806E4EC" w14:textId="77777777" w:rsidR="001C0F74" w:rsidRPr="0034594B" w:rsidRDefault="001C0F74" w:rsidP="00CD06CF">
      <w:pPr>
        <w:spacing w:line="276" w:lineRule="auto"/>
        <w:rPr>
          <w:rFonts w:asciiTheme="minorHAnsi" w:hAnsiTheme="minorHAnsi" w:cstheme="minorHAnsi"/>
          <w:b/>
          <w:i/>
          <w:sz w:val="20"/>
          <w:szCs w:val="20"/>
        </w:rPr>
      </w:pPr>
    </w:p>
    <w:p w14:paraId="0E6691EC" w14:textId="77777777" w:rsidR="0041172C" w:rsidRPr="0034594B" w:rsidRDefault="0041172C" w:rsidP="00CD06CF">
      <w:pPr>
        <w:spacing w:line="276" w:lineRule="auto"/>
        <w:jc w:val="center"/>
        <w:rPr>
          <w:rFonts w:asciiTheme="minorHAnsi" w:hAnsiTheme="minorHAnsi" w:cstheme="minorHAnsi"/>
          <w:b/>
          <w:bCs/>
          <w:i/>
          <w:sz w:val="20"/>
          <w:szCs w:val="20"/>
        </w:rPr>
      </w:pPr>
      <w:r w:rsidRPr="0034594B">
        <w:rPr>
          <w:rFonts w:asciiTheme="minorHAnsi" w:hAnsiTheme="minorHAnsi" w:cstheme="minorHAnsi"/>
          <w:b/>
          <w:bCs/>
          <w:i/>
          <w:sz w:val="20"/>
          <w:szCs w:val="20"/>
        </w:rPr>
        <w:t>§1</w:t>
      </w:r>
    </w:p>
    <w:p w14:paraId="0FF8D0A5" w14:textId="77777777" w:rsidR="0041172C" w:rsidRPr="0034594B" w:rsidRDefault="0041172C" w:rsidP="00CD06CF">
      <w:pPr>
        <w:spacing w:line="276" w:lineRule="auto"/>
        <w:jc w:val="center"/>
        <w:rPr>
          <w:rFonts w:asciiTheme="minorHAnsi" w:hAnsiTheme="minorHAnsi" w:cstheme="minorHAnsi"/>
          <w:b/>
          <w:bCs/>
          <w:i/>
          <w:sz w:val="20"/>
          <w:szCs w:val="20"/>
        </w:rPr>
      </w:pPr>
      <w:r w:rsidRPr="0034594B">
        <w:rPr>
          <w:rFonts w:asciiTheme="minorHAnsi" w:hAnsiTheme="minorHAnsi" w:cstheme="minorHAnsi"/>
          <w:b/>
          <w:bCs/>
          <w:i/>
          <w:sz w:val="20"/>
          <w:szCs w:val="20"/>
        </w:rPr>
        <w:t>Postanowienia wspólne dla ubezpieczeń komunikacyjnych</w:t>
      </w:r>
    </w:p>
    <w:p w14:paraId="57690F79" w14:textId="1F336E67" w:rsidR="0041172C" w:rsidRPr="0034594B" w:rsidRDefault="0041172C" w:rsidP="00CD06CF">
      <w:pPr>
        <w:spacing w:line="276" w:lineRule="auto"/>
        <w:rPr>
          <w:rFonts w:asciiTheme="minorHAnsi" w:hAnsiTheme="minorHAnsi" w:cstheme="minorHAnsi"/>
          <w:b/>
          <w:color w:val="000080"/>
          <w:sz w:val="20"/>
          <w:szCs w:val="20"/>
        </w:rPr>
      </w:pPr>
    </w:p>
    <w:p w14:paraId="131F3632" w14:textId="77777777" w:rsidR="001C0F74" w:rsidRPr="0034594B" w:rsidRDefault="001C0F74" w:rsidP="00CD06CF">
      <w:pPr>
        <w:spacing w:line="276" w:lineRule="auto"/>
        <w:rPr>
          <w:rFonts w:asciiTheme="minorHAnsi" w:hAnsiTheme="minorHAnsi" w:cstheme="minorHAnsi"/>
          <w:b/>
          <w:color w:val="000080"/>
          <w:sz w:val="20"/>
          <w:szCs w:val="20"/>
        </w:rPr>
      </w:pPr>
    </w:p>
    <w:p w14:paraId="7483845F" w14:textId="77777777" w:rsidR="0041172C" w:rsidRPr="0034594B" w:rsidRDefault="0041172C" w:rsidP="00CD06CF">
      <w:pPr>
        <w:numPr>
          <w:ilvl w:val="1"/>
          <w:numId w:val="2"/>
        </w:numPr>
        <w:tabs>
          <w:tab w:val="clear" w:pos="709"/>
        </w:tabs>
        <w:snapToGrid w:val="0"/>
        <w:spacing w:after="120" w:line="276" w:lineRule="auto"/>
        <w:ind w:left="283" w:hanging="425"/>
        <w:jc w:val="both"/>
        <w:rPr>
          <w:rFonts w:asciiTheme="minorHAnsi" w:hAnsiTheme="minorHAnsi" w:cstheme="minorHAnsi"/>
          <w:b/>
          <w:sz w:val="20"/>
          <w:szCs w:val="20"/>
        </w:rPr>
      </w:pPr>
      <w:r w:rsidRPr="0034594B">
        <w:rPr>
          <w:rFonts w:asciiTheme="minorHAnsi" w:hAnsiTheme="minorHAnsi" w:cstheme="minorHAnsi"/>
          <w:b/>
          <w:sz w:val="20"/>
          <w:szCs w:val="20"/>
        </w:rPr>
        <w:t>Postanowienia wspólne dla ubezpieczeń komunikacyjnych</w:t>
      </w:r>
    </w:p>
    <w:p w14:paraId="747A3488" w14:textId="77777777" w:rsidR="0041172C" w:rsidRPr="0034594B" w:rsidRDefault="0041172C" w:rsidP="00CD06CF">
      <w:pPr>
        <w:numPr>
          <w:ilvl w:val="1"/>
          <w:numId w:val="5"/>
        </w:numPr>
        <w:spacing w:after="120" w:line="276" w:lineRule="auto"/>
        <w:ind w:left="709" w:hanging="425"/>
        <w:jc w:val="both"/>
        <w:rPr>
          <w:rFonts w:asciiTheme="minorHAnsi" w:hAnsiTheme="minorHAnsi" w:cstheme="minorHAnsi"/>
          <w:color w:val="000000"/>
          <w:sz w:val="20"/>
          <w:szCs w:val="20"/>
        </w:rPr>
      </w:pPr>
      <w:r w:rsidRPr="0034594B">
        <w:rPr>
          <w:rFonts w:asciiTheme="minorHAnsi" w:hAnsiTheme="minorHAnsi" w:cstheme="minorHAnsi"/>
          <w:color w:val="000000"/>
          <w:sz w:val="20"/>
          <w:szCs w:val="20"/>
        </w:rPr>
        <w:t>Niniejsza Umowa określa warunki na jakich zawierane i wykonywane będą ubezpieczenia dla ryzyk związanych z posiadaniem i użytkowaniem pojazdów mechanicznych (dalej pojazdy), stanowiących flotę Ubezpieczającego.</w:t>
      </w:r>
    </w:p>
    <w:p w14:paraId="0F3E47B6" w14:textId="77777777" w:rsidR="0041172C" w:rsidRPr="0034594B" w:rsidRDefault="0041172C" w:rsidP="00CD06CF">
      <w:pPr>
        <w:numPr>
          <w:ilvl w:val="1"/>
          <w:numId w:val="5"/>
        </w:numPr>
        <w:spacing w:after="120" w:line="276" w:lineRule="auto"/>
        <w:ind w:left="709" w:hanging="425"/>
        <w:jc w:val="both"/>
        <w:rPr>
          <w:rFonts w:asciiTheme="minorHAnsi" w:hAnsiTheme="minorHAnsi" w:cstheme="minorHAnsi"/>
          <w:color w:val="000000"/>
          <w:sz w:val="20"/>
          <w:szCs w:val="20"/>
        </w:rPr>
      </w:pPr>
      <w:r w:rsidRPr="0034594B">
        <w:rPr>
          <w:rFonts w:asciiTheme="minorHAnsi" w:hAnsiTheme="minorHAnsi" w:cstheme="minorHAnsi"/>
          <w:color w:val="000000"/>
          <w:sz w:val="20"/>
          <w:szCs w:val="20"/>
        </w:rPr>
        <w:t>W skład floty wchodzą pojazdy, które w czasie obowiązywania Umowy stanowią własność lub są użytkowane na podstawie tytułu prawnego, innego niż prawo własności (jako przedmiot umowy leasingu, najmu, dzierżawy).</w:t>
      </w:r>
    </w:p>
    <w:p w14:paraId="6351BFCC" w14:textId="61A5F4B7" w:rsidR="0041172C" w:rsidRPr="00332CCB" w:rsidRDefault="0041172C" w:rsidP="00CD06CF">
      <w:pPr>
        <w:numPr>
          <w:ilvl w:val="1"/>
          <w:numId w:val="5"/>
        </w:numPr>
        <w:spacing w:after="120" w:line="276" w:lineRule="auto"/>
        <w:ind w:left="709" w:hanging="425"/>
        <w:jc w:val="both"/>
        <w:rPr>
          <w:rFonts w:asciiTheme="minorHAnsi" w:hAnsiTheme="minorHAnsi" w:cstheme="minorHAnsi"/>
          <w:color w:val="000000"/>
          <w:sz w:val="20"/>
          <w:szCs w:val="20"/>
        </w:rPr>
      </w:pPr>
      <w:r w:rsidRPr="0034594B">
        <w:rPr>
          <w:rFonts w:asciiTheme="minorHAnsi" w:hAnsiTheme="minorHAnsi" w:cstheme="minorHAnsi"/>
          <w:color w:val="000000"/>
          <w:sz w:val="20"/>
          <w:szCs w:val="20"/>
        </w:rPr>
        <w:t xml:space="preserve">Wykaz pojazdów stanowiących flotę Ubezpieczającego zawiera </w:t>
      </w:r>
      <w:r w:rsidRPr="00336543">
        <w:rPr>
          <w:rFonts w:asciiTheme="minorHAnsi" w:hAnsiTheme="minorHAnsi" w:cstheme="minorHAnsi"/>
          <w:b/>
          <w:color w:val="000000"/>
          <w:sz w:val="20"/>
          <w:szCs w:val="20"/>
        </w:rPr>
        <w:t xml:space="preserve">Załącznik Nr </w:t>
      </w:r>
      <w:r w:rsidR="00336543" w:rsidRPr="00336543">
        <w:rPr>
          <w:rFonts w:asciiTheme="minorHAnsi" w:hAnsiTheme="minorHAnsi" w:cstheme="minorHAnsi"/>
          <w:b/>
          <w:color w:val="000000"/>
          <w:sz w:val="20"/>
          <w:szCs w:val="20"/>
        </w:rPr>
        <w:t>4</w:t>
      </w:r>
      <w:r w:rsidRPr="0034594B">
        <w:rPr>
          <w:rFonts w:asciiTheme="minorHAnsi" w:hAnsiTheme="minorHAnsi" w:cstheme="minorHAnsi"/>
          <w:b/>
          <w:color w:val="000000"/>
          <w:sz w:val="20"/>
          <w:szCs w:val="20"/>
        </w:rPr>
        <w:t xml:space="preserve"> </w:t>
      </w:r>
      <w:r w:rsidRPr="0034594B">
        <w:rPr>
          <w:rFonts w:asciiTheme="minorHAnsi" w:hAnsiTheme="minorHAnsi" w:cstheme="minorHAnsi"/>
          <w:b/>
          <w:sz w:val="20"/>
          <w:szCs w:val="20"/>
        </w:rPr>
        <w:t>do SWZ</w:t>
      </w:r>
      <w:r w:rsidRPr="0034594B">
        <w:rPr>
          <w:rFonts w:asciiTheme="minorHAnsi" w:hAnsiTheme="minorHAnsi" w:cstheme="minorHAnsi"/>
          <w:sz w:val="20"/>
          <w:szCs w:val="20"/>
        </w:rPr>
        <w:t>.</w:t>
      </w:r>
      <w:r w:rsidRPr="0034594B">
        <w:rPr>
          <w:rFonts w:asciiTheme="minorHAnsi" w:hAnsiTheme="minorHAnsi" w:cstheme="minorHAnsi"/>
          <w:color w:val="000000"/>
          <w:sz w:val="20"/>
          <w:szCs w:val="20"/>
        </w:rPr>
        <w:t xml:space="preserve"> Załącznik ten uwzględnia </w:t>
      </w:r>
      <w:r w:rsidRPr="00332CCB">
        <w:rPr>
          <w:rFonts w:asciiTheme="minorHAnsi" w:hAnsiTheme="minorHAnsi" w:cstheme="minorHAnsi"/>
          <w:color w:val="000000"/>
          <w:sz w:val="20"/>
          <w:szCs w:val="20"/>
        </w:rPr>
        <w:t xml:space="preserve">wnioskowany rodzaj ubezpieczenia dla poszczególnego pojazdu oraz wartość sumy ubezpieczenia pojazdu w </w:t>
      </w:r>
      <w:proofErr w:type="spellStart"/>
      <w:r w:rsidRPr="00332CCB">
        <w:rPr>
          <w:rFonts w:asciiTheme="minorHAnsi" w:hAnsiTheme="minorHAnsi" w:cstheme="minorHAnsi"/>
          <w:color w:val="000000"/>
          <w:sz w:val="20"/>
          <w:szCs w:val="20"/>
        </w:rPr>
        <w:t>AutoCasco</w:t>
      </w:r>
      <w:proofErr w:type="spellEnd"/>
      <w:r w:rsidRPr="00332CCB">
        <w:rPr>
          <w:rFonts w:asciiTheme="minorHAnsi" w:hAnsiTheme="minorHAnsi" w:cstheme="minorHAnsi"/>
          <w:color w:val="000000"/>
          <w:sz w:val="20"/>
          <w:szCs w:val="20"/>
        </w:rPr>
        <w:t>.</w:t>
      </w:r>
    </w:p>
    <w:p w14:paraId="5237D52B" w14:textId="77777777" w:rsidR="0041172C" w:rsidRPr="00332CCB" w:rsidRDefault="0041172C" w:rsidP="00CD06CF">
      <w:pPr>
        <w:numPr>
          <w:ilvl w:val="1"/>
          <w:numId w:val="5"/>
        </w:numPr>
        <w:spacing w:after="120" w:line="276" w:lineRule="auto"/>
        <w:ind w:left="709" w:hanging="425"/>
        <w:jc w:val="both"/>
        <w:rPr>
          <w:rFonts w:asciiTheme="minorHAnsi" w:hAnsiTheme="minorHAnsi" w:cstheme="minorHAnsi"/>
          <w:color w:val="000000"/>
          <w:sz w:val="20"/>
          <w:szCs w:val="20"/>
        </w:rPr>
      </w:pPr>
      <w:r w:rsidRPr="00332CCB">
        <w:rPr>
          <w:rFonts w:asciiTheme="minorHAnsi" w:hAnsiTheme="minorHAnsi" w:cstheme="minorHAnsi"/>
          <w:color w:val="000000"/>
          <w:sz w:val="20"/>
          <w:szCs w:val="20"/>
        </w:rPr>
        <w:t>Pojazdy zgłaszane do ubezpieczenia w czasie trwania niniejszej Umowy zostaną objęte ochroną na niniejszych warunkach na podstawie zgłoszenia przez Ubezpieczającego, o którym mowa w pkt. 6.</w:t>
      </w:r>
    </w:p>
    <w:p w14:paraId="42F9A737" w14:textId="77777777" w:rsidR="0041172C" w:rsidRPr="00332CCB" w:rsidRDefault="0041172C" w:rsidP="00CD06CF">
      <w:pPr>
        <w:numPr>
          <w:ilvl w:val="1"/>
          <w:numId w:val="5"/>
        </w:numPr>
        <w:spacing w:after="120" w:line="276" w:lineRule="auto"/>
        <w:ind w:left="709" w:hanging="425"/>
        <w:jc w:val="both"/>
        <w:rPr>
          <w:rFonts w:asciiTheme="minorHAnsi" w:hAnsiTheme="minorHAnsi" w:cstheme="minorHAnsi"/>
          <w:color w:val="000000"/>
          <w:sz w:val="20"/>
          <w:szCs w:val="20"/>
        </w:rPr>
      </w:pPr>
      <w:r w:rsidRPr="00332CCB">
        <w:rPr>
          <w:rFonts w:asciiTheme="minorHAnsi" w:hAnsiTheme="minorHAnsi" w:cstheme="minorHAnsi"/>
          <w:color w:val="000000"/>
          <w:sz w:val="20"/>
          <w:szCs w:val="20"/>
        </w:rPr>
        <w:t>Niniejsza Umowa dotyczy współpracy Stron w zakresie następujących rodzajów ubezpieczeń:</w:t>
      </w:r>
    </w:p>
    <w:p w14:paraId="7E90C597" w14:textId="2419A949" w:rsidR="0041172C" w:rsidRPr="00332CCB" w:rsidRDefault="0041172C" w:rsidP="00CD06CF">
      <w:pPr>
        <w:numPr>
          <w:ilvl w:val="2"/>
          <w:numId w:val="5"/>
        </w:numPr>
        <w:snapToGrid w:val="0"/>
        <w:spacing w:after="120" w:line="276" w:lineRule="auto"/>
        <w:ind w:left="1276" w:hanging="567"/>
        <w:jc w:val="both"/>
        <w:rPr>
          <w:rFonts w:asciiTheme="minorHAnsi" w:hAnsiTheme="minorHAnsi" w:cstheme="minorHAnsi"/>
          <w:sz w:val="20"/>
          <w:szCs w:val="20"/>
        </w:rPr>
      </w:pPr>
      <w:r w:rsidRPr="00332CCB">
        <w:rPr>
          <w:rFonts w:asciiTheme="minorHAnsi" w:hAnsiTheme="minorHAnsi" w:cstheme="minorHAnsi"/>
          <w:sz w:val="20"/>
          <w:szCs w:val="20"/>
        </w:rPr>
        <w:t>ubezpieczenie odpowiedzialności cywilnej posiadaczy pojazdów mechanicznych za szkody powstałe w związku z ruchem tych pojazdów (dalej ubezpieczenie OC p</w:t>
      </w:r>
      <w:r w:rsidR="00CF3581" w:rsidRPr="00332CCB">
        <w:rPr>
          <w:rFonts w:asciiTheme="minorHAnsi" w:hAnsiTheme="minorHAnsi" w:cstheme="minorHAnsi"/>
          <w:sz w:val="20"/>
          <w:szCs w:val="20"/>
        </w:rPr>
        <w:t>.</w:t>
      </w:r>
      <w:r w:rsidRPr="00332CCB">
        <w:rPr>
          <w:rFonts w:asciiTheme="minorHAnsi" w:hAnsiTheme="minorHAnsi" w:cstheme="minorHAnsi"/>
          <w:sz w:val="20"/>
          <w:szCs w:val="20"/>
        </w:rPr>
        <w:t>p</w:t>
      </w:r>
      <w:r w:rsidR="00CF3581" w:rsidRPr="00332CCB">
        <w:rPr>
          <w:rFonts w:asciiTheme="minorHAnsi" w:hAnsiTheme="minorHAnsi" w:cstheme="minorHAnsi"/>
          <w:sz w:val="20"/>
          <w:szCs w:val="20"/>
        </w:rPr>
        <w:t>.</w:t>
      </w:r>
      <w:r w:rsidRPr="00332CCB">
        <w:rPr>
          <w:rFonts w:asciiTheme="minorHAnsi" w:hAnsiTheme="minorHAnsi" w:cstheme="minorHAnsi"/>
          <w:sz w:val="20"/>
          <w:szCs w:val="20"/>
        </w:rPr>
        <w:t>m</w:t>
      </w:r>
      <w:r w:rsidR="00CF3581" w:rsidRPr="00332CCB">
        <w:rPr>
          <w:rFonts w:asciiTheme="minorHAnsi" w:hAnsiTheme="minorHAnsi" w:cstheme="minorHAnsi"/>
          <w:sz w:val="20"/>
          <w:szCs w:val="20"/>
        </w:rPr>
        <w:t>.</w:t>
      </w:r>
      <w:r w:rsidRPr="00332CCB">
        <w:rPr>
          <w:rFonts w:asciiTheme="minorHAnsi" w:hAnsiTheme="minorHAnsi" w:cstheme="minorHAnsi"/>
          <w:sz w:val="20"/>
          <w:szCs w:val="20"/>
        </w:rPr>
        <w:t>),</w:t>
      </w:r>
    </w:p>
    <w:p w14:paraId="12F91F2E" w14:textId="77777777" w:rsidR="0041172C" w:rsidRPr="00332CCB" w:rsidRDefault="0041172C" w:rsidP="00CD06CF">
      <w:pPr>
        <w:numPr>
          <w:ilvl w:val="2"/>
          <w:numId w:val="5"/>
        </w:numPr>
        <w:snapToGrid w:val="0"/>
        <w:spacing w:after="120" w:line="276" w:lineRule="auto"/>
        <w:ind w:left="1276" w:hanging="567"/>
        <w:jc w:val="both"/>
        <w:rPr>
          <w:rFonts w:asciiTheme="minorHAnsi" w:hAnsiTheme="minorHAnsi" w:cstheme="minorHAnsi"/>
          <w:sz w:val="20"/>
          <w:szCs w:val="20"/>
        </w:rPr>
      </w:pPr>
      <w:r w:rsidRPr="00332CCB">
        <w:rPr>
          <w:rFonts w:asciiTheme="minorHAnsi" w:hAnsiTheme="minorHAnsi" w:cstheme="minorHAnsi"/>
          <w:sz w:val="20"/>
          <w:szCs w:val="20"/>
        </w:rPr>
        <w:t>ubezpieczenie autocasco obejmujące ryzyko utraty, uszkodzenia lub zniszczenia ubezpieczonego pojazdu (dalej ubezpieczenie AC),</w:t>
      </w:r>
    </w:p>
    <w:p w14:paraId="7A2DDBC8" w14:textId="77777777" w:rsidR="0041172C" w:rsidRPr="00332CCB" w:rsidRDefault="0041172C" w:rsidP="00CD06CF">
      <w:pPr>
        <w:numPr>
          <w:ilvl w:val="2"/>
          <w:numId w:val="5"/>
        </w:numPr>
        <w:snapToGrid w:val="0"/>
        <w:spacing w:after="120" w:line="276" w:lineRule="auto"/>
        <w:ind w:left="1276" w:hanging="567"/>
        <w:jc w:val="both"/>
        <w:rPr>
          <w:rFonts w:asciiTheme="minorHAnsi" w:hAnsiTheme="minorHAnsi" w:cstheme="minorHAnsi"/>
          <w:sz w:val="20"/>
          <w:szCs w:val="20"/>
        </w:rPr>
      </w:pPr>
      <w:r w:rsidRPr="00332CCB">
        <w:rPr>
          <w:rFonts w:asciiTheme="minorHAnsi" w:hAnsiTheme="minorHAnsi" w:cstheme="minorHAnsi"/>
          <w:sz w:val="20"/>
          <w:szCs w:val="20"/>
        </w:rPr>
        <w:t>ubezpieczenie następstw nieszczęśliwych wypadków kierowcy i pasażerów pojazdu (dalej ubezpieczenie NNW),</w:t>
      </w:r>
    </w:p>
    <w:p w14:paraId="4C559113" w14:textId="77777777" w:rsidR="0041172C" w:rsidRPr="00332CCB" w:rsidRDefault="0041172C" w:rsidP="00CD06CF">
      <w:pPr>
        <w:numPr>
          <w:ilvl w:val="2"/>
          <w:numId w:val="5"/>
        </w:numPr>
        <w:spacing w:after="120" w:line="276" w:lineRule="auto"/>
        <w:ind w:left="1276" w:hanging="567"/>
        <w:jc w:val="both"/>
        <w:rPr>
          <w:rFonts w:asciiTheme="minorHAnsi" w:hAnsiTheme="minorHAnsi" w:cstheme="minorHAnsi"/>
          <w:sz w:val="20"/>
          <w:szCs w:val="20"/>
        </w:rPr>
      </w:pPr>
      <w:r w:rsidRPr="00332CCB">
        <w:rPr>
          <w:rFonts w:asciiTheme="minorHAnsi" w:hAnsiTheme="minorHAnsi" w:cstheme="minorHAnsi"/>
          <w:sz w:val="20"/>
          <w:szCs w:val="20"/>
        </w:rPr>
        <w:t>ubezpieczenie Assistance.</w:t>
      </w:r>
    </w:p>
    <w:p w14:paraId="09AB64D7" w14:textId="77777777" w:rsidR="0041172C" w:rsidRPr="00332CCB" w:rsidRDefault="0041172C" w:rsidP="00CD06CF">
      <w:pPr>
        <w:numPr>
          <w:ilvl w:val="1"/>
          <w:numId w:val="5"/>
        </w:numPr>
        <w:spacing w:after="120" w:line="276" w:lineRule="auto"/>
        <w:ind w:left="709" w:hanging="425"/>
        <w:jc w:val="both"/>
        <w:rPr>
          <w:rFonts w:asciiTheme="minorHAnsi" w:hAnsiTheme="minorHAnsi" w:cstheme="minorHAnsi"/>
          <w:color w:val="000000"/>
          <w:sz w:val="20"/>
          <w:szCs w:val="20"/>
        </w:rPr>
      </w:pPr>
      <w:r w:rsidRPr="00332CCB">
        <w:rPr>
          <w:rFonts w:asciiTheme="minorHAnsi" w:hAnsiTheme="minorHAnsi" w:cstheme="minorHAnsi"/>
          <w:color w:val="000000"/>
          <w:sz w:val="20"/>
          <w:szCs w:val="20"/>
        </w:rPr>
        <w:t>Ubezpieczający wskaże pojazdy i rodzaje ubezpieczeń, które mają być zawarte dla pojazdów, składając Ubezpieczycielowi odpowiednie zgłoszenie.</w:t>
      </w:r>
    </w:p>
    <w:p w14:paraId="0F4844E8" w14:textId="77777777" w:rsidR="0041172C" w:rsidRPr="0034594B" w:rsidRDefault="0041172C" w:rsidP="00CD06CF">
      <w:pPr>
        <w:numPr>
          <w:ilvl w:val="1"/>
          <w:numId w:val="5"/>
        </w:numPr>
        <w:spacing w:after="120" w:line="276" w:lineRule="auto"/>
        <w:ind w:left="709" w:hanging="425"/>
        <w:jc w:val="both"/>
        <w:rPr>
          <w:rFonts w:asciiTheme="minorHAnsi" w:hAnsiTheme="minorHAnsi" w:cstheme="minorHAnsi"/>
          <w:color w:val="000000"/>
          <w:sz w:val="20"/>
          <w:szCs w:val="20"/>
        </w:rPr>
      </w:pPr>
      <w:r w:rsidRPr="00332CCB">
        <w:rPr>
          <w:rFonts w:asciiTheme="minorHAnsi" w:hAnsiTheme="minorHAnsi" w:cstheme="minorHAnsi"/>
          <w:color w:val="000000"/>
          <w:sz w:val="20"/>
          <w:szCs w:val="20"/>
        </w:rPr>
        <w:t>Do umów ubezpieczenia zawieranych w ramach</w:t>
      </w:r>
      <w:r w:rsidRPr="0034594B">
        <w:rPr>
          <w:rFonts w:asciiTheme="minorHAnsi" w:hAnsiTheme="minorHAnsi" w:cstheme="minorHAnsi"/>
          <w:color w:val="000000"/>
          <w:sz w:val="20"/>
          <w:szCs w:val="20"/>
        </w:rPr>
        <w:t xml:space="preserve"> niniejszej Umowy zastosowanie mają:</w:t>
      </w:r>
    </w:p>
    <w:p w14:paraId="62881F9E" w14:textId="76DB47CC" w:rsidR="0041172C" w:rsidRPr="0034594B" w:rsidRDefault="005E5F03" w:rsidP="00CD06CF">
      <w:pPr>
        <w:numPr>
          <w:ilvl w:val="2"/>
          <w:numId w:val="5"/>
        </w:numPr>
        <w:snapToGrid w:val="0"/>
        <w:spacing w:after="120" w:line="276" w:lineRule="auto"/>
        <w:ind w:left="1276" w:hanging="567"/>
        <w:jc w:val="both"/>
        <w:rPr>
          <w:rFonts w:asciiTheme="minorHAnsi" w:hAnsiTheme="minorHAnsi" w:cstheme="minorHAnsi"/>
          <w:sz w:val="20"/>
          <w:szCs w:val="20"/>
        </w:rPr>
      </w:pPr>
      <w:r w:rsidRPr="0034594B">
        <w:rPr>
          <w:rFonts w:asciiTheme="minorHAnsi" w:hAnsiTheme="minorHAnsi" w:cstheme="minorHAnsi"/>
          <w:sz w:val="20"/>
          <w:szCs w:val="20"/>
        </w:rPr>
        <w:t>U</w:t>
      </w:r>
      <w:r w:rsidR="0041172C" w:rsidRPr="0034594B">
        <w:rPr>
          <w:rFonts w:asciiTheme="minorHAnsi" w:hAnsiTheme="minorHAnsi" w:cstheme="minorHAnsi"/>
          <w:sz w:val="20"/>
          <w:szCs w:val="20"/>
        </w:rPr>
        <w:t>stawa z dnia 22 maja 2003 r. o ubezpieczeniach obowiązkowych, Ubezpieczeniowym Funduszu Gwarancyjnym i Polskim Biurze Ubezpieczycieli Komunikacyjnych (Dz. U. z 2003 r., Nr 124, Poz. 1152 ze zm.);</w:t>
      </w:r>
    </w:p>
    <w:p w14:paraId="1B31D81A" w14:textId="1CE17DD5" w:rsidR="0041172C" w:rsidRPr="0034594B" w:rsidRDefault="005E5F03" w:rsidP="00CD06CF">
      <w:pPr>
        <w:numPr>
          <w:ilvl w:val="2"/>
          <w:numId w:val="5"/>
        </w:numPr>
        <w:snapToGrid w:val="0"/>
        <w:spacing w:after="120" w:line="276" w:lineRule="auto"/>
        <w:ind w:left="1276" w:hanging="567"/>
        <w:jc w:val="both"/>
        <w:rPr>
          <w:rFonts w:asciiTheme="minorHAnsi" w:hAnsiTheme="minorHAnsi" w:cstheme="minorHAnsi"/>
          <w:sz w:val="20"/>
          <w:szCs w:val="20"/>
        </w:rPr>
      </w:pPr>
      <w:r w:rsidRPr="0034594B">
        <w:rPr>
          <w:rFonts w:asciiTheme="minorHAnsi" w:hAnsiTheme="minorHAnsi" w:cstheme="minorHAnsi"/>
          <w:sz w:val="20"/>
          <w:szCs w:val="20"/>
        </w:rPr>
        <w:t>O</w:t>
      </w:r>
      <w:r w:rsidR="0041172C" w:rsidRPr="0034594B">
        <w:rPr>
          <w:rFonts w:asciiTheme="minorHAnsi" w:hAnsiTheme="minorHAnsi" w:cstheme="minorHAnsi"/>
          <w:sz w:val="20"/>
          <w:szCs w:val="20"/>
        </w:rPr>
        <w:t>gólne warunki ubezpieczenia autocasco obejmujące ryzyko utraty, uszkodzenia lub zniszczenia ubezpieczonego pojazdu ................................................ (dalej OWU AC);</w:t>
      </w:r>
    </w:p>
    <w:p w14:paraId="623C1FE8" w14:textId="027EA6BC" w:rsidR="0041172C" w:rsidRPr="0034594B" w:rsidRDefault="005E5F03" w:rsidP="00CD06CF">
      <w:pPr>
        <w:numPr>
          <w:ilvl w:val="2"/>
          <w:numId w:val="5"/>
        </w:numPr>
        <w:snapToGrid w:val="0"/>
        <w:spacing w:after="120" w:line="276" w:lineRule="auto"/>
        <w:ind w:left="1276" w:hanging="567"/>
        <w:jc w:val="both"/>
        <w:rPr>
          <w:rFonts w:asciiTheme="minorHAnsi" w:hAnsiTheme="minorHAnsi" w:cstheme="minorHAnsi"/>
          <w:sz w:val="20"/>
          <w:szCs w:val="20"/>
        </w:rPr>
      </w:pPr>
      <w:r w:rsidRPr="0034594B">
        <w:rPr>
          <w:rFonts w:asciiTheme="minorHAnsi" w:hAnsiTheme="minorHAnsi" w:cstheme="minorHAnsi"/>
          <w:sz w:val="20"/>
          <w:szCs w:val="20"/>
        </w:rPr>
        <w:t>O</w:t>
      </w:r>
      <w:r w:rsidR="0041172C" w:rsidRPr="0034594B">
        <w:rPr>
          <w:rFonts w:asciiTheme="minorHAnsi" w:hAnsiTheme="minorHAnsi" w:cstheme="minorHAnsi"/>
          <w:sz w:val="20"/>
          <w:szCs w:val="20"/>
        </w:rPr>
        <w:t>gólne warunki ubezpieczenia następstw nieszczęśliwych wypadków kierowcy i pasażerów pojazdu mechanicznego ................................................ (dalej OWU NNW);</w:t>
      </w:r>
    </w:p>
    <w:p w14:paraId="37A0E58B" w14:textId="56FCBA8E" w:rsidR="0041172C" w:rsidRPr="0034594B" w:rsidRDefault="005E5F03" w:rsidP="00CD06CF">
      <w:pPr>
        <w:numPr>
          <w:ilvl w:val="2"/>
          <w:numId w:val="5"/>
        </w:numPr>
        <w:spacing w:after="120" w:line="276" w:lineRule="auto"/>
        <w:ind w:left="1276" w:hanging="567"/>
        <w:jc w:val="both"/>
        <w:rPr>
          <w:rFonts w:asciiTheme="minorHAnsi" w:hAnsiTheme="minorHAnsi" w:cstheme="minorHAnsi"/>
          <w:sz w:val="20"/>
          <w:szCs w:val="20"/>
        </w:rPr>
      </w:pPr>
      <w:r w:rsidRPr="0034594B">
        <w:rPr>
          <w:rFonts w:asciiTheme="minorHAnsi" w:hAnsiTheme="minorHAnsi" w:cstheme="minorHAnsi"/>
          <w:sz w:val="20"/>
          <w:szCs w:val="20"/>
        </w:rPr>
        <w:t>O</w:t>
      </w:r>
      <w:r w:rsidR="0041172C" w:rsidRPr="0034594B">
        <w:rPr>
          <w:rFonts w:asciiTheme="minorHAnsi" w:hAnsiTheme="minorHAnsi" w:cstheme="minorHAnsi"/>
          <w:sz w:val="20"/>
          <w:szCs w:val="20"/>
        </w:rPr>
        <w:t>gólne warunki ubezpieczenia Assistance ................................................ (dalej OWU Assistance).</w:t>
      </w:r>
    </w:p>
    <w:p w14:paraId="3292CC4E" w14:textId="0CD7BBB4" w:rsidR="0041172C" w:rsidRPr="0034594B" w:rsidRDefault="0041172C" w:rsidP="00CD06CF">
      <w:pPr>
        <w:numPr>
          <w:ilvl w:val="1"/>
          <w:numId w:val="5"/>
        </w:numPr>
        <w:spacing w:after="120" w:line="276" w:lineRule="auto"/>
        <w:ind w:left="709" w:hanging="425"/>
        <w:jc w:val="both"/>
        <w:rPr>
          <w:rFonts w:asciiTheme="minorHAnsi" w:hAnsiTheme="minorHAnsi" w:cstheme="minorHAnsi"/>
          <w:sz w:val="20"/>
          <w:szCs w:val="20"/>
        </w:rPr>
      </w:pPr>
      <w:r w:rsidRPr="0034594B">
        <w:rPr>
          <w:rFonts w:asciiTheme="minorHAnsi" w:hAnsiTheme="minorHAnsi" w:cstheme="minorHAnsi"/>
          <w:sz w:val="20"/>
          <w:szCs w:val="20"/>
        </w:rPr>
        <w:t xml:space="preserve">Postanowienia warunków określonych w niniejszej Części, w tym klauzul dodatkowych wymienionych </w:t>
      </w:r>
      <w:r w:rsidR="00CF3581" w:rsidRPr="0034594B">
        <w:rPr>
          <w:rFonts w:asciiTheme="minorHAnsi" w:hAnsiTheme="minorHAnsi" w:cstheme="minorHAnsi"/>
          <w:sz w:val="20"/>
          <w:szCs w:val="20"/>
        </w:rPr>
        <w:br/>
      </w:r>
      <w:r w:rsidRPr="0034594B">
        <w:rPr>
          <w:rFonts w:asciiTheme="minorHAnsi" w:hAnsiTheme="minorHAnsi" w:cstheme="minorHAnsi"/>
          <w:sz w:val="20"/>
          <w:szCs w:val="20"/>
        </w:rPr>
        <w:t xml:space="preserve">w </w:t>
      </w:r>
      <w:r w:rsidRPr="0034594B">
        <w:rPr>
          <w:rFonts w:asciiTheme="minorHAnsi" w:hAnsiTheme="minorHAnsi" w:cstheme="minorHAnsi"/>
          <w:b/>
          <w:sz w:val="20"/>
          <w:szCs w:val="20"/>
        </w:rPr>
        <w:t xml:space="preserve">Załączniku </w:t>
      </w:r>
      <w:r w:rsidRPr="00336543">
        <w:rPr>
          <w:rFonts w:asciiTheme="minorHAnsi" w:hAnsiTheme="minorHAnsi" w:cstheme="minorHAnsi"/>
          <w:b/>
          <w:sz w:val="20"/>
          <w:szCs w:val="20"/>
        </w:rPr>
        <w:t xml:space="preserve">nr </w:t>
      </w:r>
      <w:r w:rsidR="00336543" w:rsidRPr="00336543">
        <w:rPr>
          <w:rFonts w:asciiTheme="minorHAnsi" w:hAnsiTheme="minorHAnsi" w:cstheme="minorHAnsi"/>
          <w:b/>
          <w:sz w:val="20"/>
          <w:szCs w:val="20"/>
        </w:rPr>
        <w:t>6</w:t>
      </w:r>
      <w:r w:rsidRPr="0034594B">
        <w:rPr>
          <w:rFonts w:asciiTheme="minorHAnsi" w:hAnsiTheme="minorHAnsi" w:cstheme="minorHAnsi"/>
          <w:b/>
          <w:sz w:val="20"/>
          <w:szCs w:val="20"/>
        </w:rPr>
        <w:t xml:space="preserve"> do SWZ</w:t>
      </w:r>
      <w:r w:rsidRPr="0034594B">
        <w:rPr>
          <w:rFonts w:asciiTheme="minorHAnsi" w:hAnsiTheme="minorHAnsi" w:cstheme="minorHAnsi"/>
          <w:sz w:val="20"/>
          <w:szCs w:val="20"/>
        </w:rPr>
        <w:t>, mają pierwszeństwo stosowania przed OWU, o których mowa w pkt 1.7.</w:t>
      </w:r>
    </w:p>
    <w:p w14:paraId="44B498C3" w14:textId="7A46E54D" w:rsidR="0041172C" w:rsidRPr="0034594B" w:rsidRDefault="0041172C" w:rsidP="00CD06CF">
      <w:pPr>
        <w:numPr>
          <w:ilvl w:val="1"/>
          <w:numId w:val="5"/>
        </w:numPr>
        <w:spacing w:after="120" w:line="276" w:lineRule="auto"/>
        <w:ind w:left="709" w:hanging="425"/>
        <w:jc w:val="both"/>
        <w:rPr>
          <w:rFonts w:asciiTheme="minorHAnsi" w:hAnsiTheme="minorHAnsi" w:cstheme="minorHAnsi"/>
          <w:b/>
          <w:sz w:val="20"/>
          <w:szCs w:val="20"/>
        </w:rPr>
      </w:pPr>
      <w:r w:rsidRPr="0034594B">
        <w:rPr>
          <w:rFonts w:asciiTheme="minorHAnsi" w:hAnsiTheme="minorHAnsi" w:cstheme="minorHAnsi"/>
          <w:sz w:val="20"/>
          <w:szCs w:val="20"/>
        </w:rPr>
        <w:lastRenderedPageBreak/>
        <w:t xml:space="preserve">Umowa Ubezpieczeń Komunikacyjnych zawarta zostanie na okres </w:t>
      </w:r>
      <w:r w:rsidR="005E5F03" w:rsidRPr="0034594B">
        <w:rPr>
          <w:rFonts w:asciiTheme="minorHAnsi" w:hAnsiTheme="minorHAnsi" w:cstheme="minorHAnsi"/>
          <w:sz w:val="20"/>
          <w:szCs w:val="20"/>
        </w:rPr>
        <w:t xml:space="preserve">od </w:t>
      </w:r>
      <w:r w:rsidR="005E5F03" w:rsidRPr="0034594B">
        <w:rPr>
          <w:rFonts w:asciiTheme="minorHAnsi" w:hAnsiTheme="minorHAnsi" w:cstheme="minorHAnsi"/>
          <w:b/>
          <w:sz w:val="20"/>
          <w:szCs w:val="20"/>
        </w:rPr>
        <w:t>2</w:t>
      </w:r>
      <w:r w:rsidR="00867B38" w:rsidRPr="0034594B">
        <w:rPr>
          <w:rFonts w:asciiTheme="minorHAnsi" w:hAnsiTheme="minorHAnsi" w:cstheme="minorHAnsi"/>
          <w:b/>
          <w:sz w:val="20"/>
          <w:szCs w:val="20"/>
        </w:rPr>
        <w:t>4</w:t>
      </w:r>
      <w:r w:rsidR="005E5F03" w:rsidRPr="0034594B">
        <w:rPr>
          <w:rFonts w:asciiTheme="minorHAnsi" w:hAnsiTheme="minorHAnsi" w:cstheme="minorHAnsi"/>
          <w:b/>
          <w:sz w:val="20"/>
          <w:szCs w:val="20"/>
        </w:rPr>
        <w:t>.11</w:t>
      </w:r>
      <w:r w:rsidRPr="0034594B">
        <w:rPr>
          <w:rFonts w:asciiTheme="minorHAnsi" w:hAnsiTheme="minorHAnsi" w:cstheme="minorHAnsi"/>
          <w:b/>
          <w:sz w:val="20"/>
          <w:szCs w:val="20"/>
        </w:rPr>
        <w:t>.20</w:t>
      </w:r>
      <w:r w:rsidR="00CD06CF">
        <w:rPr>
          <w:rFonts w:asciiTheme="minorHAnsi" w:hAnsiTheme="minorHAnsi" w:cstheme="minorHAnsi"/>
          <w:b/>
          <w:sz w:val="20"/>
          <w:szCs w:val="20"/>
        </w:rPr>
        <w:t>21</w:t>
      </w:r>
      <w:r w:rsidR="005E5F03" w:rsidRPr="0034594B">
        <w:rPr>
          <w:rFonts w:asciiTheme="minorHAnsi" w:hAnsiTheme="minorHAnsi" w:cstheme="minorHAnsi"/>
          <w:b/>
          <w:sz w:val="20"/>
          <w:szCs w:val="20"/>
        </w:rPr>
        <w:t xml:space="preserve"> r. godz. 00:00 do 2</w:t>
      </w:r>
      <w:r w:rsidR="00867B38" w:rsidRPr="0034594B">
        <w:rPr>
          <w:rFonts w:asciiTheme="minorHAnsi" w:hAnsiTheme="minorHAnsi" w:cstheme="minorHAnsi"/>
          <w:b/>
          <w:sz w:val="20"/>
          <w:szCs w:val="20"/>
        </w:rPr>
        <w:t>3</w:t>
      </w:r>
      <w:r w:rsidR="005E5F03" w:rsidRPr="0034594B">
        <w:rPr>
          <w:rFonts w:asciiTheme="minorHAnsi" w:hAnsiTheme="minorHAnsi" w:cstheme="minorHAnsi"/>
          <w:b/>
          <w:sz w:val="20"/>
          <w:szCs w:val="20"/>
        </w:rPr>
        <w:t>.11</w:t>
      </w:r>
      <w:r w:rsidRPr="0034594B">
        <w:rPr>
          <w:rFonts w:asciiTheme="minorHAnsi" w:hAnsiTheme="minorHAnsi" w:cstheme="minorHAnsi"/>
          <w:b/>
          <w:sz w:val="20"/>
          <w:szCs w:val="20"/>
        </w:rPr>
        <w:t>.20</w:t>
      </w:r>
      <w:r w:rsidR="00351A83" w:rsidRPr="0034594B">
        <w:rPr>
          <w:rFonts w:asciiTheme="minorHAnsi" w:hAnsiTheme="minorHAnsi" w:cstheme="minorHAnsi"/>
          <w:b/>
          <w:sz w:val="20"/>
          <w:szCs w:val="20"/>
        </w:rPr>
        <w:t>2</w:t>
      </w:r>
      <w:r w:rsidR="00CD06CF">
        <w:rPr>
          <w:rFonts w:asciiTheme="minorHAnsi" w:hAnsiTheme="minorHAnsi" w:cstheme="minorHAnsi"/>
          <w:b/>
          <w:sz w:val="20"/>
          <w:szCs w:val="20"/>
        </w:rPr>
        <w:t>4</w:t>
      </w:r>
      <w:r w:rsidRPr="0034594B">
        <w:rPr>
          <w:rFonts w:asciiTheme="minorHAnsi" w:hAnsiTheme="minorHAnsi" w:cstheme="minorHAnsi"/>
          <w:b/>
          <w:sz w:val="20"/>
          <w:szCs w:val="20"/>
        </w:rPr>
        <w:t xml:space="preserve"> r. godz.</w:t>
      </w:r>
      <w:r w:rsidR="005E5F03" w:rsidRPr="0034594B">
        <w:rPr>
          <w:rFonts w:asciiTheme="minorHAnsi" w:hAnsiTheme="minorHAnsi" w:cstheme="minorHAnsi"/>
          <w:b/>
          <w:sz w:val="20"/>
          <w:szCs w:val="20"/>
        </w:rPr>
        <w:t xml:space="preserve"> 24:00</w:t>
      </w:r>
      <w:r w:rsidRPr="0034594B">
        <w:rPr>
          <w:rFonts w:asciiTheme="minorHAnsi" w:hAnsiTheme="minorHAnsi" w:cstheme="minorHAnsi"/>
          <w:b/>
          <w:sz w:val="20"/>
          <w:szCs w:val="20"/>
        </w:rPr>
        <w:t>.</w:t>
      </w:r>
    </w:p>
    <w:p w14:paraId="5F55552B" w14:textId="77777777" w:rsidR="0041172C" w:rsidRPr="0034594B" w:rsidRDefault="0041172C" w:rsidP="00CD06CF">
      <w:pPr>
        <w:numPr>
          <w:ilvl w:val="1"/>
          <w:numId w:val="5"/>
        </w:numPr>
        <w:spacing w:after="120" w:line="276" w:lineRule="auto"/>
        <w:ind w:left="709" w:hanging="567"/>
        <w:jc w:val="both"/>
        <w:rPr>
          <w:rFonts w:asciiTheme="minorHAnsi" w:hAnsiTheme="minorHAnsi" w:cstheme="minorHAnsi"/>
          <w:sz w:val="20"/>
          <w:szCs w:val="20"/>
        </w:rPr>
      </w:pPr>
      <w:r w:rsidRPr="0034594B">
        <w:rPr>
          <w:rFonts w:asciiTheme="minorHAnsi" w:hAnsiTheme="minorHAnsi" w:cstheme="minorHAnsi"/>
          <w:sz w:val="20"/>
          <w:szCs w:val="20"/>
        </w:rPr>
        <w:t>Płatność składki nastąpi jednorazowo w przeciągu 14 dni od dnia wystawienia dokumentu ubezpieczenia (polisy), dla poszczególnego pojazdu lub grupy pojazdów, niniejsze dotyczy także pojazdów ubezpieczanych w trakcie obowiązywania Umowy Ubezpieczeń Komunikacyjnych.</w:t>
      </w:r>
    </w:p>
    <w:p w14:paraId="67B134C6" w14:textId="77777777" w:rsidR="0041172C" w:rsidRPr="0034594B" w:rsidRDefault="0041172C" w:rsidP="00CD06CF">
      <w:pPr>
        <w:numPr>
          <w:ilvl w:val="1"/>
          <w:numId w:val="5"/>
        </w:numPr>
        <w:spacing w:after="120" w:line="276" w:lineRule="auto"/>
        <w:ind w:left="709" w:hanging="567"/>
        <w:jc w:val="both"/>
        <w:rPr>
          <w:rFonts w:asciiTheme="minorHAnsi" w:hAnsiTheme="minorHAnsi" w:cstheme="minorHAnsi"/>
          <w:sz w:val="20"/>
          <w:szCs w:val="20"/>
        </w:rPr>
      </w:pPr>
      <w:r w:rsidRPr="0034594B">
        <w:rPr>
          <w:rFonts w:asciiTheme="minorHAnsi" w:hAnsiTheme="minorHAnsi" w:cstheme="minorHAnsi"/>
          <w:sz w:val="20"/>
          <w:szCs w:val="20"/>
        </w:rPr>
        <w:t>Wykonawca zagwarantuje Ubezpieczonemu niezmienność stawek w trakcie trwania umowy ubezpieczenia.</w:t>
      </w:r>
    </w:p>
    <w:p w14:paraId="14428E30" w14:textId="0FC2AAC6" w:rsidR="0041172C" w:rsidRPr="0034594B" w:rsidRDefault="0041172C" w:rsidP="00CD06CF">
      <w:pPr>
        <w:numPr>
          <w:ilvl w:val="1"/>
          <w:numId w:val="5"/>
        </w:numPr>
        <w:spacing w:after="120" w:line="276" w:lineRule="auto"/>
        <w:ind w:left="709" w:hanging="567"/>
        <w:jc w:val="both"/>
        <w:rPr>
          <w:rFonts w:asciiTheme="minorHAnsi" w:hAnsiTheme="minorHAnsi" w:cstheme="minorHAnsi"/>
          <w:sz w:val="20"/>
          <w:szCs w:val="20"/>
        </w:rPr>
      </w:pPr>
      <w:r w:rsidRPr="0034594B">
        <w:rPr>
          <w:rFonts w:asciiTheme="minorHAnsi" w:hAnsiTheme="minorHAnsi" w:cstheme="minorHAnsi"/>
          <w:sz w:val="20"/>
          <w:szCs w:val="20"/>
        </w:rPr>
        <w:t>Zwroty składek za niewykorzyst</w:t>
      </w:r>
      <w:r w:rsidR="00CF3581" w:rsidRPr="0034594B">
        <w:rPr>
          <w:rFonts w:asciiTheme="minorHAnsi" w:hAnsiTheme="minorHAnsi" w:cstheme="minorHAnsi"/>
          <w:sz w:val="20"/>
          <w:szCs w:val="20"/>
        </w:rPr>
        <w:t>any okres ubezpieczenia odbywać</w:t>
      </w:r>
      <w:r w:rsidRPr="0034594B">
        <w:rPr>
          <w:rFonts w:asciiTheme="minorHAnsi" w:hAnsiTheme="minorHAnsi" w:cstheme="minorHAnsi"/>
          <w:sz w:val="20"/>
          <w:szCs w:val="20"/>
        </w:rPr>
        <w:t xml:space="preserve"> się będą bez potrącenia kosztów manipulacyjnych. Rozliczenie składki będzie następować proporcjonalnie do niewykorzystanego okresu ubezpieczenia, który liczy się w dniach</w:t>
      </w:r>
      <w:r w:rsidR="00CF3581" w:rsidRPr="0034594B">
        <w:rPr>
          <w:rFonts w:asciiTheme="minorHAnsi" w:hAnsiTheme="minorHAnsi" w:cstheme="minorHAnsi"/>
          <w:sz w:val="20"/>
          <w:szCs w:val="20"/>
        </w:rPr>
        <w:t>,</w:t>
      </w:r>
      <w:r w:rsidRPr="0034594B">
        <w:rPr>
          <w:rFonts w:asciiTheme="minorHAnsi" w:hAnsiTheme="minorHAnsi" w:cstheme="minorHAnsi"/>
          <w:sz w:val="20"/>
          <w:szCs w:val="20"/>
        </w:rPr>
        <w:t xml:space="preserve"> poczynając od dnia następnego po wygaśnięciu odpowiedzialności </w:t>
      </w:r>
      <w:r w:rsidR="00CF3581" w:rsidRPr="0034594B">
        <w:rPr>
          <w:rFonts w:asciiTheme="minorHAnsi" w:hAnsiTheme="minorHAnsi" w:cstheme="minorHAnsi"/>
          <w:sz w:val="20"/>
          <w:szCs w:val="20"/>
        </w:rPr>
        <w:t xml:space="preserve">ubezpieczyciela. </w:t>
      </w:r>
    </w:p>
    <w:p w14:paraId="58557D62" w14:textId="4B489E44" w:rsidR="0041172C" w:rsidRPr="0034594B" w:rsidRDefault="0041172C" w:rsidP="00CD06CF">
      <w:pPr>
        <w:numPr>
          <w:ilvl w:val="1"/>
          <w:numId w:val="5"/>
        </w:numPr>
        <w:spacing w:after="120" w:line="276" w:lineRule="auto"/>
        <w:ind w:left="709" w:hanging="567"/>
        <w:jc w:val="both"/>
        <w:rPr>
          <w:rFonts w:asciiTheme="minorHAnsi" w:hAnsiTheme="minorHAnsi" w:cstheme="minorHAnsi"/>
          <w:sz w:val="20"/>
          <w:szCs w:val="20"/>
        </w:rPr>
      </w:pPr>
      <w:r w:rsidRPr="0034594B">
        <w:rPr>
          <w:rFonts w:asciiTheme="minorHAnsi" w:hAnsiTheme="minorHAnsi" w:cstheme="minorHAnsi"/>
          <w:sz w:val="20"/>
          <w:szCs w:val="20"/>
        </w:rPr>
        <w:t xml:space="preserve">Do Umowy Ubezpieczeń Komunikacyjnych w zakresie ubezpieczeń dobrowolnych będą miały zastosowanie następujące klauzule dodatkowe (treść klauzul stanowi </w:t>
      </w:r>
      <w:r w:rsidRPr="00336543">
        <w:rPr>
          <w:rFonts w:asciiTheme="minorHAnsi" w:hAnsiTheme="minorHAnsi" w:cstheme="minorHAnsi"/>
          <w:b/>
          <w:sz w:val="20"/>
          <w:szCs w:val="20"/>
        </w:rPr>
        <w:t xml:space="preserve">Załącznik numer </w:t>
      </w:r>
      <w:r w:rsidR="00336543">
        <w:rPr>
          <w:rFonts w:asciiTheme="minorHAnsi" w:hAnsiTheme="minorHAnsi" w:cstheme="minorHAnsi"/>
          <w:b/>
          <w:sz w:val="20"/>
          <w:szCs w:val="20"/>
        </w:rPr>
        <w:t>6</w:t>
      </w:r>
      <w:r w:rsidRPr="0034594B">
        <w:rPr>
          <w:rFonts w:asciiTheme="minorHAnsi" w:hAnsiTheme="minorHAnsi" w:cstheme="minorHAnsi"/>
          <w:b/>
          <w:sz w:val="20"/>
          <w:szCs w:val="20"/>
        </w:rPr>
        <w:t xml:space="preserve"> do SWZ</w:t>
      </w:r>
      <w:r w:rsidRPr="0034594B">
        <w:rPr>
          <w:rFonts w:asciiTheme="minorHAnsi" w:hAnsiTheme="minorHAnsi" w:cstheme="minorHAnsi"/>
          <w:sz w:val="20"/>
          <w:szCs w:val="20"/>
        </w:rPr>
        <w:t>):</w:t>
      </w:r>
    </w:p>
    <w:p w14:paraId="62B81069" w14:textId="77777777" w:rsidR="0041172C" w:rsidRPr="0034594B" w:rsidRDefault="0041172C" w:rsidP="00CD06CF">
      <w:pPr>
        <w:numPr>
          <w:ilvl w:val="2"/>
          <w:numId w:val="5"/>
        </w:numPr>
        <w:snapToGrid w:val="0"/>
        <w:spacing w:line="276" w:lineRule="auto"/>
        <w:ind w:left="1418" w:hanging="709"/>
        <w:jc w:val="both"/>
        <w:rPr>
          <w:rFonts w:asciiTheme="minorHAnsi" w:hAnsiTheme="minorHAnsi" w:cstheme="minorHAnsi"/>
          <w:sz w:val="20"/>
          <w:szCs w:val="20"/>
        </w:rPr>
      </w:pPr>
      <w:r w:rsidRPr="0034594B">
        <w:rPr>
          <w:rFonts w:asciiTheme="minorHAnsi" w:hAnsiTheme="minorHAnsi" w:cstheme="minorHAnsi"/>
          <w:sz w:val="20"/>
          <w:szCs w:val="20"/>
        </w:rPr>
        <w:t>klauzula czasu ochrony</w:t>
      </w:r>
    </w:p>
    <w:p w14:paraId="4A5A76FE" w14:textId="77777777" w:rsidR="0041172C" w:rsidRPr="0034594B" w:rsidRDefault="0041172C" w:rsidP="00CD06CF">
      <w:pPr>
        <w:numPr>
          <w:ilvl w:val="2"/>
          <w:numId w:val="5"/>
        </w:numPr>
        <w:snapToGrid w:val="0"/>
        <w:spacing w:line="276" w:lineRule="auto"/>
        <w:ind w:left="1418" w:hanging="709"/>
        <w:jc w:val="both"/>
        <w:rPr>
          <w:rFonts w:asciiTheme="minorHAnsi" w:hAnsiTheme="minorHAnsi" w:cstheme="minorHAnsi"/>
          <w:sz w:val="20"/>
          <w:szCs w:val="20"/>
        </w:rPr>
      </w:pPr>
      <w:r w:rsidRPr="0034594B">
        <w:rPr>
          <w:rFonts w:asciiTheme="minorHAnsi" w:hAnsiTheme="minorHAnsi" w:cstheme="minorHAnsi"/>
          <w:sz w:val="20"/>
          <w:szCs w:val="20"/>
        </w:rPr>
        <w:t>klauzula rozliczenia składek</w:t>
      </w:r>
    </w:p>
    <w:p w14:paraId="0B93C8DE" w14:textId="77777777" w:rsidR="0041172C" w:rsidRPr="0034594B" w:rsidRDefault="0041172C" w:rsidP="00332CCB">
      <w:pPr>
        <w:numPr>
          <w:ilvl w:val="2"/>
          <w:numId w:val="5"/>
        </w:numPr>
        <w:snapToGrid w:val="0"/>
        <w:spacing w:after="120" w:line="276" w:lineRule="auto"/>
        <w:ind w:left="1418" w:hanging="709"/>
        <w:jc w:val="both"/>
        <w:rPr>
          <w:rFonts w:asciiTheme="minorHAnsi" w:hAnsiTheme="minorHAnsi" w:cstheme="minorHAnsi"/>
          <w:sz w:val="20"/>
          <w:szCs w:val="20"/>
        </w:rPr>
      </w:pPr>
      <w:bookmarkStart w:id="0" w:name="OLE_LINK3"/>
      <w:bookmarkStart w:id="1" w:name="OLE_LINK4"/>
      <w:r w:rsidRPr="0034594B">
        <w:rPr>
          <w:rFonts w:asciiTheme="minorHAnsi" w:hAnsiTheme="minorHAnsi" w:cstheme="minorHAnsi"/>
          <w:sz w:val="20"/>
          <w:szCs w:val="20"/>
        </w:rPr>
        <w:t>klauzula warunków i taryf</w:t>
      </w:r>
    </w:p>
    <w:p w14:paraId="1A1178A1" w14:textId="77777777" w:rsidR="00CD06CF" w:rsidRDefault="00704010" w:rsidP="00332CCB">
      <w:pPr>
        <w:pStyle w:val="Akapitzlist"/>
        <w:numPr>
          <w:ilvl w:val="1"/>
          <w:numId w:val="5"/>
        </w:numPr>
        <w:snapToGrid w:val="0"/>
        <w:spacing w:after="120" w:line="276" w:lineRule="auto"/>
        <w:ind w:left="709" w:hanging="567"/>
        <w:contextualSpacing w:val="0"/>
        <w:jc w:val="both"/>
        <w:rPr>
          <w:rFonts w:asciiTheme="minorHAnsi" w:hAnsiTheme="minorHAnsi" w:cstheme="minorHAnsi"/>
          <w:sz w:val="20"/>
          <w:szCs w:val="20"/>
        </w:rPr>
      </w:pPr>
      <w:r w:rsidRPr="0034594B">
        <w:rPr>
          <w:rFonts w:asciiTheme="minorHAnsi" w:hAnsiTheme="minorHAnsi" w:cstheme="minorHAnsi"/>
          <w:sz w:val="20"/>
          <w:szCs w:val="20"/>
        </w:rPr>
        <w:t>Informacja o zamówieniach podobnych, o których mowa w art. 67 ust. 1 pkt 6 Ustawy PZP.</w:t>
      </w:r>
    </w:p>
    <w:p w14:paraId="3665A57B" w14:textId="7CC12E13" w:rsidR="00704010" w:rsidRPr="00CD06CF" w:rsidRDefault="00704010" w:rsidP="00CD06CF">
      <w:pPr>
        <w:pStyle w:val="Akapitzlist"/>
        <w:spacing w:line="276" w:lineRule="auto"/>
        <w:ind w:left="709"/>
        <w:jc w:val="both"/>
        <w:rPr>
          <w:rFonts w:asciiTheme="minorHAnsi" w:hAnsiTheme="minorHAnsi" w:cstheme="minorHAnsi"/>
          <w:sz w:val="20"/>
          <w:szCs w:val="20"/>
        </w:rPr>
      </w:pPr>
      <w:r w:rsidRPr="00CD06CF">
        <w:rPr>
          <w:rFonts w:asciiTheme="minorHAnsi" w:hAnsiTheme="minorHAnsi" w:cstheme="minorHAnsi"/>
          <w:sz w:val="20"/>
          <w:szCs w:val="20"/>
        </w:rPr>
        <w:t xml:space="preserve">Zamawiający przewiduje w terminie 3 lata od dnia udzielenia Zamówienia publicznego, udzielenie dotychczasowemu Wykonawcy, zamówienia, o którym mowa w art. 67 ust. 1 pkt 6 Ustawy PZP w zakresie do 5% wartości szacunkowej Zamówienia podstawowego (w każdej części Zamówienia odrębnie). Zamówienie, o którym mowa powyższej, będzie polegać na powtórzeniu podobnych usług, zgodnych z przedmiotem Zamówienia podstawowego, między innymi w zakresie ubezpieczenia odpowiedzialności cywilnej posiadaczy pojazdów mechanicznych (OC), ubezpieczenia Auto-Casco (AC), ubezpieczenia NNW kierowców i pasażerów (NNW) oraz ubezpieczenia Assistance lub w zakresie innych ubezpieczeń komunikacyjnych (np. ubezpieczenia ZK). Zamówienia podobne zostaną udzielone pod warunkiem, że dotychczasowy Wykonawca (Ubezpieczyciel) realizował usługi w terminie i z najwyższą starannością </w:t>
      </w:r>
      <w:proofErr w:type="gramStart"/>
      <w:r w:rsidRPr="00CD06CF">
        <w:rPr>
          <w:rFonts w:asciiTheme="minorHAnsi" w:hAnsiTheme="minorHAnsi" w:cstheme="minorHAnsi"/>
          <w:sz w:val="20"/>
          <w:szCs w:val="20"/>
        </w:rPr>
        <w:t>oraz,</w:t>
      </w:r>
      <w:proofErr w:type="gramEnd"/>
      <w:r w:rsidRPr="00CD06CF">
        <w:rPr>
          <w:rFonts w:asciiTheme="minorHAnsi" w:hAnsiTheme="minorHAnsi" w:cstheme="minorHAnsi"/>
          <w:sz w:val="20"/>
          <w:szCs w:val="20"/>
        </w:rPr>
        <w:t xml:space="preserve"> że zapewni nie gorszy standard wykonywania nowego zamówienia niż Zamówienie podstawowe, a strony w wyniku negocjacji uzgodnią wynagrodzenie nie mniej korzystne niż pierwotnie ustalone w Zamówieniu podstawowym oraz termin wykonania tego zamówienia. Zamówienie podobne zostanie udzielone pod warunkiem posiadania przez Zamawiającego niezbędnych środków finansowych oraz w zależności od uzasadnionych potrzeb Zamawiającego.</w:t>
      </w:r>
    </w:p>
    <w:p w14:paraId="34FD378D" w14:textId="77777777" w:rsidR="0041172C" w:rsidRPr="0034594B" w:rsidRDefault="0041172C" w:rsidP="00CD06CF">
      <w:pPr>
        <w:spacing w:line="276" w:lineRule="auto"/>
        <w:ind w:left="1572"/>
        <w:jc w:val="both"/>
        <w:rPr>
          <w:rFonts w:asciiTheme="minorHAnsi" w:hAnsiTheme="minorHAnsi" w:cstheme="minorHAnsi"/>
          <w:sz w:val="20"/>
          <w:szCs w:val="20"/>
        </w:rPr>
      </w:pPr>
    </w:p>
    <w:p w14:paraId="424A6C03" w14:textId="7B252116" w:rsidR="005E5F03" w:rsidRPr="0034594B" w:rsidRDefault="005E5F03" w:rsidP="00CD06CF">
      <w:pPr>
        <w:spacing w:line="276" w:lineRule="auto"/>
        <w:jc w:val="center"/>
        <w:rPr>
          <w:rFonts w:asciiTheme="minorHAnsi" w:hAnsiTheme="minorHAnsi" w:cstheme="minorHAnsi"/>
          <w:b/>
          <w:bCs/>
          <w:i/>
          <w:sz w:val="20"/>
          <w:szCs w:val="20"/>
        </w:rPr>
      </w:pPr>
    </w:p>
    <w:p w14:paraId="50D620FE" w14:textId="77777777" w:rsidR="0041172C" w:rsidRPr="0034594B" w:rsidRDefault="0041172C" w:rsidP="00CD06CF">
      <w:pPr>
        <w:spacing w:line="276" w:lineRule="auto"/>
        <w:jc w:val="center"/>
        <w:rPr>
          <w:rFonts w:asciiTheme="minorHAnsi" w:hAnsiTheme="minorHAnsi" w:cstheme="minorHAnsi"/>
          <w:b/>
          <w:bCs/>
          <w:i/>
          <w:sz w:val="20"/>
          <w:szCs w:val="20"/>
        </w:rPr>
      </w:pPr>
      <w:r w:rsidRPr="0034594B">
        <w:rPr>
          <w:rFonts w:asciiTheme="minorHAnsi" w:hAnsiTheme="minorHAnsi" w:cstheme="minorHAnsi"/>
          <w:b/>
          <w:bCs/>
          <w:i/>
          <w:sz w:val="20"/>
          <w:szCs w:val="20"/>
        </w:rPr>
        <w:t>§2</w:t>
      </w:r>
    </w:p>
    <w:p w14:paraId="41BC847E" w14:textId="77777777" w:rsidR="0041172C" w:rsidRPr="0034594B" w:rsidRDefault="0041172C" w:rsidP="00CD06CF">
      <w:pPr>
        <w:spacing w:line="276" w:lineRule="auto"/>
        <w:jc w:val="center"/>
        <w:rPr>
          <w:rFonts w:asciiTheme="minorHAnsi" w:hAnsiTheme="minorHAnsi" w:cstheme="minorHAnsi"/>
          <w:b/>
          <w:bCs/>
          <w:i/>
          <w:sz w:val="20"/>
          <w:szCs w:val="20"/>
        </w:rPr>
      </w:pPr>
      <w:r w:rsidRPr="0034594B">
        <w:rPr>
          <w:rFonts w:asciiTheme="minorHAnsi" w:hAnsiTheme="minorHAnsi" w:cstheme="minorHAnsi"/>
          <w:b/>
          <w:bCs/>
          <w:i/>
          <w:sz w:val="20"/>
          <w:szCs w:val="20"/>
        </w:rPr>
        <w:t>Ubezpieczenie OC posiadacza pojazdu mechanicznego</w:t>
      </w:r>
    </w:p>
    <w:p w14:paraId="7833B5E7" w14:textId="77777777" w:rsidR="0041172C" w:rsidRPr="0034594B" w:rsidRDefault="0041172C" w:rsidP="00CD06CF">
      <w:pPr>
        <w:spacing w:line="276" w:lineRule="auto"/>
        <w:jc w:val="both"/>
        <w:rPr>
          <w:rFonts w:asciiTheme="minorHAnsi" w:hAnsiTheme="minorHAnsi" w:cstheme="minorHAnsi"/>
          <w:sz w:val="20"/>
          <w:szCs w:val="20"/>
        </w:rPr>
      </w:pPr>
    </w:p>
    <w:bookmarkEnd w:id="0"/>
    <w:bookmarkEnd w:id="1"/>
    <w:p w14:paraId="72D660D7" w14:textId="77777777" w:rsidR="0041172C" w:rsidRPr="0034594B" w:rsidRDefault="0041172C" w:rsidP="00CD06CF">
      <w:pPr>
        <w:numPr>
          <w:ilvl w:val="0"/>
          <w:numId w:val="6"/>
        </w:numPr>
        <w:spacing w:before="120" w:line="276" w:lineRule="auto"/>
        <w:ind w:left="284"/>
        <w:jc w:val="both"/>
        <w:rPr>
          <w:rFonts w:asciiTheme="minorHAnsi" w:hAnsiTheme="minorHAnsi" w:cstheme="minorHAnsi"/>
          <w:b/>
          <w:sz w:val="20"/>
          <w:szCs w:val="20"/>
        </w:rPr>
      </w:pPr>
      <w:r w:rsidRPr="0034594B">
        <w:rPr>
          <w:rFonts w:asciiTheme="minorHAnsi" w:hAnsiTheme="minorHAnsi" w:cstheme="minorHAnsi"/>
          <w:b/>
          <w:sz w:val="20"/>
          <w:szCs w:val="20"/>
        </w:rPr>
        <w:t>Przedmiot i zakres ubezpieczenia</w:t>
      </w:r>
    </w:p>
    <w:p w14:paraId="254E171C" w14:textId="77777777" w:rsidR="0041172C" w:rsidRPr="0034594B" w:rsidRDefault="0041172C" w:rsidP="00CD06CF">
      <w:pPr>
        <w:numPr>
          <w:ilvl w:val="1"/>
          <w:numId w:val="6"/>
        </w:numPr>
        <w:spacing w:before="120" w:line="276" w:lineRule="auto"/>
        <w:ind w:left="709" w:hanging="425"/>
        <w:jc w:val="both"/>
        <w:rPr>
          <w:rFonts w:asciiTheme="minorHAnsi" w:hAnsiTheme="minorHAnsi" w:cstheme="minorHAnsi"/>
          <w:sz w:val="20"/>
          <w:szCs w:val="20"/>
        </w:rPr>
      </w:pPr>
      <w:r w:rsidRPr="0034594B">
        <w:rPr>
          <w:rFonts w:asciiTheme="minorHAnsi" w:hAnsiTheme="minorHAnsi" w:cstheme="minorHAnsi"/>
          <w:sz w:val="20"/>
          <w:szCs w:val="20"/>
        </w:rPr>
        <w:t>Przedmiotem Ubezpieczenia OC jest odpowiedzialność cywilna posiadaczy pojazdów mechanicznych za szkody powstałe w związku z ruchem tych pojazdów.</w:t>
      </w:r>
    </w:p>
    <w:p w14:paraId="3FD96284" w14:textId="479369E6" w:rsidR="0041172C" w:rsidRPr="0034594B" w:rsidRDefault="0041172C" w:rsidP="00CD06CF">
      <w:pPr>
        <w:numPr>
          <w:ilvl w:val="1"/>
          <w:numId w:val="6"/>
        </w:numPr>
        <w:spacing w:before="120" w:line="276" w:lineRule="auto"/>
        <w:ind w:left="709" w:hanging="425"/>
        <w:jc w:val="both"/>
        <w:rPr>
          <w:rFonts w:asciiTheme="minorHAnsi" w:hAnsiTheme="minorHAnsi" w:cstheme="minorHAnsi"/>
          <w:sz w:val="20"/>
          <w:szCs w:val="20"/>
        </w:rPr>
      </w:pPr>
      <w:r w:rsidRPr="0034594B">
        <w:rPr>
          <w:rFonts w:asciiTheme="minorHAnsi" w:hAnsiTheme="minorHAnsi" w:cstheme="minorHAnsi"/>
          <w:sz w:val="20"/>
          <w:szCs w:val="20"/>
        </w:rPr>
        <w:t>Zakres, przedmiot oraz sumy gwarancyjne zgodne z ustawą</w:t>
      </w:r>
      <w:r w:rsidR="00D27B7D" w:rsidRPr="0034594B">
        <w:rPr>
          <w:rFonts w:asciiTheme="minorHAnsi" w:hAnsiTheme="minorHAnsi" w:cstheme="minorHAnsi"/>
          <w:sz w:val="20"/>
          <w:szCs w:val="20"/>
        </w:rPr>
        <w:t xml:space="preserve"> z dnia 22 maja 2003 r. o ubezpieczeniach obowiązkowych, Ubezpieczeniowym Funduszu Gwarancyjnym i Polskim Biurze Ubezpieczycieli Komunikacyjnych (Dz. U. z 2003 r., Nr 124, Poz. 1152 ze zm.).</w:t>
      </w:r>
    </w:p>
    <w:p w14:paraId="7D5288D3" w14:textId="2B4D775B" w:rsidR="00D27B7D" w:rsidRPr="00F204D8" w:rsidRDefault="00D27B7D" w:rsidP="00CD06CF">
      <w:pPr>
        <w:numPr>
          <w:ilvl w:val="1"/>
          <w:numId w:val="6"/>
        </w:numPr>
        <w:spacing w:before="120" w:line="276" w:lineRule="auto"/>
        <w:ind w:left="709" w:hanging="425"/>
        <w:jc w:val="both"/>
        <w:rPr>
          <w:rFonts w:asciiTheme="minorHAnsi" w:hAnsiTheme="minorHAnsi" w:cstheme="minorHAnsi"/>
          <w:sz w:val="20"/>
          <w:szCs w:val="20"/>
        </w:rPr>
      </w:pPr>
      <w:r w:rsidRPr="0034594B">
        <w:rPr>
          <w:rFonts w:asciiTheme="minorHAnsi" w:hAnsiTheme="minorHAnsi" w:cstheme="minorHAnsi"/>
          <w:sz w:val="20"/>
          <w:szCs w:val="20"/>
        </w:rPr>
        <w:t xml:space="preserve">Okres ubezpieczenia od dnia wskazanego jako dzień rozpoczęcia ochrony dla poszczególnego pojazdu mechanicznego </w:t>
      </w:r>
      <w:r w:rsidRPr="00F204D8">
        <w:rPr>
          <w:rFonts w:asciiTheme="minorHAnsi" w:hAnsiTheme="minorHAnsi" w:cstheme="minorHAnsi"/>
          <w:b/>
          <w:color w:val="000000" w:themeColor="text1"/>
          <w:sz w:val="20"/>
          <w:szCs w:val="20"/>
        </w:rPr>
        <w:t xml:space="preserve">(zgodnie z Załącznikiem nr </w:t>
      </w:r>
      <w:r w:rsidR="00336543">
        <w:rPr>
          <w:rFonts w:asciiTheme="minorHAnsi" w:hAnsiTheme="minorHAnsi" w:cstheme="minorHAnsi"/>
          <w:b/>
          <w:color w:val="000000" w:themeColor="text1"/>
          <w:sz w:val="20"/>
          <w:szCs w:val="20"/>
        </w:rPr>
        <w:t>4</w:t>
      </w:r>
      <w:r w:rsidR="00F204D8" w:rsidRPr="00F204D8">
        <w:rPr>
          <w:rFonts w:asciiTheme="minorHAnsi" w:hAnsiTheme="minorHAnsi" w:cstheme="minorHAnsi"/>
          <w:b/>
          <w:color w:val="000000" w:themeColor="text1"/>
          <w:sz w:val="20"/>
          <w:szCs w:val="20"/>
        </w:rPr>
        <w:t xml:space="preserve"> do SWZ</w:t>
      </w:r>
      <w:r w:rsidRPr="00F204D8">
        <w:rPr>
          <w:rFonts w:asciiTheme="minorHAnsi" w:hAnsiTheme="minorHAnsi" w:cstheme="minorHAnsi"/>
          <w:b/>
          <w:color w:val="000000" w:themeColor="text1"/>
          <w:sz w:val="20"/>
          <w:szCs w:val="20"/>
        </w:rPr>
        <w:t>)</w:t>
      </w:r>
      <w:r w:rsidRPr="00F204D8">
        <w:rPr>
          <w:rFonts w:asciiTheme="minorHAnsi" w:hAnsiTheme="minorHAnsi" w:cstheme="minorHAnsi"/>
          <w:sz w:val="20"/>
          <w:szCs w:val="20"/>
        </w:rPr>
        <w:t xml:space="preserve"> przez okres 12 miesięcy. </w:t>
      </w:r>
    </w:p>
    <w:p w14:paraId="0A4FD3CB" w14:textId="77777777" w:rsidR="0041172C" w:rsidRPr="00F204D8" w:rsidRDefault="0041172C" w:rsidP="00CD06CF">
      <w:pPr>
        <w:spacing w:line="276" w:lineRule="auto"/>
        <w:jc w:val="center"/>
        <w:rPr>
          <w:rFonts w:asciiTheme="minorHAnsi" w:hAnsiTheme="minorHAnsi" w:cstheme="minorHAnsi"/>
          <w:b/>
          <w:bCs/>
          <w:i/>
          <w:sz w:val="20"/>
          <w:szCs w:val="20"/>
        </w:rPr>
      </w:pPr>
      <w:r w:rsidRPr="00F204D8">
        <w:rPr>
          <w:rFonts w:asciiTheme="minorHAnsi" w:hAnsiTheme="minorHAnsi" w:cstheme="minorHAnsi"/>
          <w:b/>
          <w:bCs/>
          <w:i/>
          <w:sz w:val="20"/>
          <w:szCs w:val="20"/>
        </w:rPr>
        <w:t>§3</w:t>
      </w:r>
    </w:p>
    <w:p w14:paraId="337CCA7E" w14:textId="77777777" w:rsidR="0041172C" w:rsidRPr="00F204D8" w:rsidRDefault="0041172C" w:rsidP="00CD06CF">
      <w:pPr>
        <w:spacing w:line="276" w:lineRule="auto"/>
        <w:jc w:val="center"/>
        <w:rPr>
          <w:rFonts w:asciiTheme="minorHAnsi" w:hAnsiTheme="minorHAnsi" w:cstheme="minorHAnsi"/>
          <w:b/>
          <w:bCs/>
          <w:i/>
          <w:sz w:val="20"/>
          <w:szCs w:val="20"/>
        </w:rPr>
      </w:pPr>
      <w:r w:rsidRPr="00F204D8">
        <w:rPr>
          <w:rFonts w:asciiTheme="minorHAnsi" w:hAnsiTheme="minorHAnsi" w:cstheme="minorHAnsi"/>
          <w:b/>
          <w:bCs/>
          <w:i/>
          <w:sz w:val="20"/>
          <w:szCs w:val="20"/>
        </w:rPr>
        <w:lastRenderedPageBreak/>
        <w:t>Ubezpieczenie Autocasco</w:t>
      </w:r>
      <w:r w:rsidRPr="00F204D8">
        <w:rPr>
          <w:rFonts w:asciiTheme="minorHAnsi" w:hAnsiTheme="minorHAnsi" w:cstheme="minorHAnsi"/>
          <w:b/>
          <w:bCs/>
          <w:i/>
          <w:sz w:val="20"/>
          <w:szCs w:val="20"/>
        </w:rPr>
        <w:br/>
      </w:r>
    </w:p>
    <w:p w14:paraId="55712302" w14:textId="77777777" w:rsidR="0041172C" w:rsidRPr="00F204D8" w:rsidRDefault="0041172C" w:rsidP="00CD06CF">
      <w:pPr>
        <w:numPr>
          <w:ilvl w:val="0"/>
          <w:numId w:val="3"/>
        </w:numPr>
        <w:tabs>
          <w:tab w:val="clear" w:pos="390"/>
        </w:tabs>
        <w:spacing w:after="120" w:line="276" w:lineRule="auto"/>
        <w:ind w:left="284"/>
        <w:jc w:val="both"/>
        <w:rPr>
          <w:rFonts w:asciiTheme="minorHAnsi" w:hAnsiTheme="minorHAnsi" w:cstheme="minorHAnsi"/>
          <w:b/>
          <w:sz w:val="20"/>
          <w:szCs w:val="20"/>
        </w:rPr>
      </w:pPr>
      <w:r w:rsidRPr="00F204D8">
        <w:rPr>
          <w:rFonts w:asciiTheme="minorHAnsi" w:hAnsiTheme="minorHAnsi" w:cstheme="minorHAnsi"/>
          <w:b/>
          <w:sz w:val="20"/>
          <w:szCs w:val="20"/>
        </w:rPr>
        <w:t xml:space="preserve">Ubezpieczenie </w:t>
      </w:r>
      <w:proofErr w:type="spellStart"/>
      <w:r w:rsidRPr="00F204D8">
        <w:rPr>
          <w:rFonts w:asciiTheme="minorHAnsi" w:hAnsiTheme="minorHAnsi" w:cstheme="minorHAnsi"/>
          <w:b/>
          <w:sz w:val="20"/>
          <w:szCs w:val="20"/>
        </w:rPr>
        <w:t>AutoCasco</w:t>
      </w:r>
      <w:proofErr w:type="spellEnd"/>
    </w:p>
    <w:p w14:paraId="7058D865" w14:textId="55E8A0BE" w:rsidR="0041172C" w:rsidRPr="00F204D8" w:rsidRDefault="0041172C" w:rsidP="00CD06CF">
      <w:pPr>
        <w:numPr>
          <w:ilvl w:val="1"/>
          <w:numId w:val="3"/>
        </w:numPr>
        <w:tabs>
          <w:tab w:val="clear" w:pos="1440"/>
        </w:tabs>
        <w:spacing w:after="120" w:line="276" w:lineRule="auto"/>
        <w:ind w:left="709" w:hanging="425"/>
        <w:jc w:val="both"/>
        <w:rPr>
          <w:rFonts w:asciiTheme="minorHAnsi" w:hAnsiTheme="minorHAnsi" w:cstheme="minorHAnsi"/>
          <w:sz w:val="20"/>
          <w:szCs w:val="20"/>
        </w:rPr>
      </w:pPr>
      <w:r w:rsidRPr="00F204D8">
        <w:rPr>
          <w:rFonts w:asciiTheme="minorHAnsi" w:hAnsiTheme="minorHAnsi" w:cstheme="minorHAnsi"/>
          <w:sz w:val="20"/>
          <w:szCs w:val="20"/>
        </w:rPr>
        <w:t xml:space="preserve">Przedmiotem ubezpieczenia są wybrane pojazdy „floty pojazdów” należących do </w:t>
      </w:r>
      <w:r w:rsidR="00D27B7D" w:rsidRPr="00F204D8">
        <w:rPr>
          <w:rFonts w:asciiTheme="minorHAnsi" w:hAnsiTheme="minorHAnsi" w:cstheme="minorHAnsi"/>
          <w:sz w:val="20"/>
          <w:szCs w:val="20"/>
        </w:rPr>
        <w:t>Zamawiającego określone</w:t>
      </w:r>
      <w:r w:rsidRPr="00F204D8">
        <w:rPr>
          <w:rFonts w:asciiTheme="minorHAnsi" w:hAnsiTheme="minorHAnsi" w:cstheme="minorHAnsi"/>
          <w:sz w:val="20"/>
          <w:szCs w:val="20"/>
        </w:rPr>
        <w:t xml:space="preserve"> w wykazie stanowiącym </w:t>
      </w:r>
      <w:r w:rsidRPr="00F204D8">
        <w:rPr>
          <w:rFonts w:asciiTheme="minorHAnsi" w:hAnsiTheme="minorHAnsi" w:cstheme="minorHAnsi"/>
          <w:b/>
          <w:sz w:val="20"/>
          <w:szCs w:val="20"/>
        </w:rPr>
        <w:t xml:space="preserve">Załącznik numer </w:t>
      </w:r>
      <w:r w:rsidR="00336543">
        <w:rPr>
          <w:rFonts w:asciiTheme="minorHAnsi" w:hAnsiTheme="minorHAnsi" w:cstheme="minorHAnsi"/>
          <w:b/>
          <w:sz w:val="20"/>
          <w:szCs w:val="20"/>
        </w:rPr>
        <w:t>4</w:t>
      </w:r>
      <w:r w:rsidRPr="00F204D8">
        <w:rPr>
          <w:rFonts w:asciiTheme="minorHAnsi" w:hAnsiTheme="minorHAnsi" w:cstheme="minorHAnsi"/>
          <w:b/>
          <w:sz w:val="20"/>
          <w:szCs w:val="20"/>
        </w:rPr>
        <w:t xml:space="preserve"> do SWZ</w:t>
      </w:r>
      <w:r w:rsidRPr="00F204D8">
        <w:rPr>
          <w:rFonts w:asciiTheme="minorHAnsi" w:hAnsiTheme="minorHAnsi" w:cstheme="minorHAnsi"/>
          <w:sz w:val="20"/>
          <w:szCs w:val="20"/>
        </w:rPr>
        <w:t xml:space="preserve">; </w:t>
      </w:r>
    </w:p>
    <w:p w14:paraId="1B727E46" w14:textId="358E71D6" w:rsidR="0041172C" w:rsidRPr="0034594B" w:rsidRDefault="0041172C" w:rsidP="00CD06CF">
      <w:pPr>
        <w:numPr>
          <w:ilvl w:val="1"/>
          <w:numId w:val="3"/>
        </w:numPr>
        <w:tabs>
          <w:tab w:val="clear" w:pos="1440"/>
        </w:tabs>
        <w:spacing w:after="120" w:line="276" w:lineRule="auto"/>
        <w:ind w:left="709" w:hanging="425"/>
        <w:jc w:val="both"/>
        <w:rPr>
          <w:rFonts w:asciiTheme="minorHAnsi" w:hAnsiTheme="minorHAnsi" w:cstheme="minorHAnsi"/>
          <w:sz w:val="20"/>
          <w:szCs w:val="20"/>
        </w:rPr>
      </w:pPr>
      <w:r w:rsidRPr="0034594B">
        <w:rPr>
          <w:rFonts w:asciiTheme="minorHAnsi" w:hAnsiTheme="minorHAnsi" w:cstheme="minorHAnsi"/>
          <w:sz w:val="20"/>
          <w:szCs w:val="20"/>
        </w:rPr>
        <w:t>Zakres ubezpieczenia: wariant pełny tj. obejmujący wszelkie szkody polegające na uszkodzeniu, zniszczeniu lub utracie pojazdu lub jego elementów i wyposażen</w:t>
      </w:r>
      <w:r w:rsidR="00D27B7D" w:rsidRPr="0034594B">
        <w:rPr>
          <w:rFonts w:asciiTheme="minorHAnsi" w:hAnsiTheme="minorHAnsi" w:cstheme="minorHAnsi"/>
          <w:sz w:val="20"/>
          <w:szCs w:val="20"/>
        </w:rPr>
        <w:t xml:space="preserve">ia powstałe w związku z ruchem </w:t>
      </w:r>
      <w:r w:rsidRPr="0034594B">
        <w:rPr>
          <w:rFonts w:asciiTheme="minorHAnsi" w:hAnsiTheme="minorHAnsi" w:cstheme="minorHAnsi"/>
          <w:sz w:val="20"/>
          <w:szCs w:val="20"/>
        </w:rPr>
        <w:t>i postojem w szczególności na skutek:</w:t>
      </w:r>
    </w:p>
    <w:p w14:paraId="08A28471" w14:textId="77777777" w:rsidR="00CD06CF" w:rsidRDefault="0041172C" w:rsidP="00CD06CF">
      <w:pPr>
        <w:pStyle w:val="Akapitzlist"/>
        <w:numPr>
          <w:ilvl w:val="2"/>
          <w:numId w:val="3"/>
        </w:numPr>
        <w:tabs>
          <w:tab w:val="clear" w:pos="2160"/>
        </w:tabs>
        <w:snapToGrid w:val="0"/>
        <w:spacing w:after="120" w:line="276" w:lineRule="auto"/>
        <w:ind w:left="1276" w:hanging="567"/>
        <w:contextualSpacing w:val="0"/>
        <w:jc w:val="both"/>
        <w:rPr>
          <w:rFonts w:asciiTheme="minorHAnsi" w:hAnsiTheme="minorHAnsi" w:cstheme="minorHAnsi"/>
          <w:sz w:val="20"/>
          <w:szCs w:val="20"/>
        </w:rPr>
      </w:pPr>
      <w:r w:rsidRPr="0034594B">
        <w:rPr>
          <w:rFonts w:asciiTheme="minorHAnsi" w:hAnsiTheme="minorHAnsi" w:cstheme="minorHAnsi"/>
          <w:sz w:val="20"/>
          <w:szCs w:val="20"/>
        </w:rPr>
        <w:t>nagłego działania siły mechanicznej w chwili zetknięcia pojazdu z innym pojazdem, z osobami, zwierzętami lub przedmiotem pochodzącym z zewnątrz i wewnątrz pojazdu,</w:t>
      </w:r>
    </w:p>
    <w:p w14:paraId="4C4D297C" w14:textId="77777777" w:rsidR="00CD06CF" w:rsidRDefault="0041172C" w:rsidP="00CD06CF">
      <w:pPr>
        <w:pStyle w:val="Akapitzlist"/>
        <w:numPr>
          <w:ilvl w:val="2"/>
          <w:numId w:val="3"/>
        </w:numPr>
        <w:tabs>
          <w:tab w:val="clear" w:pos="2160"/>
        </w:tabs>
        <w:snapToGrid w:val="0"/>
        <w:spacing w:after="120" w:line="276" w:lineRule="auto"/>
        <w:ind w:left="1276" w:hanging="567"/>
        <w:contextualSpacing w:val="0"/>
        <w:jc w:val="both"/>
        <w:rPr>
          <w:rFonts w:asciiTheme="minorHAnsi" w:hAnsiTheme="minorHAnsi" w:cstheme="minorHAnsi"/>
          <w:sz w:val="20"/>
          <w:szCs w:val="20"/>
        </w:rPr>
      </w:pPr>
      <w:r w:rsidRPr="00CD06CF">
        <w:rPr>
          <w:rFonts w:asciiTheme="minorHAnsi" w:hAnsiTheme="minorHAnsi" w:cstheme="minorHAnsi"/>
          <w:sz w:val="20"/>
          <w:szCs w:val="20"/>
        </w:rPr>
        <w:t>uszkodzenia pojazdu lub jego wyposażenia przez osoby trzecie (np. dewastacja),</w:t>
      </w:r>
    </w:p>
    <w:p w14:paraId="77354FF2" w14:textId="77777777" w:rsidR="00CD06CF" w:rsidRDefault="0041172C" w:rsidP="00CD06CF">
      <w:pPr>
        <w:pStyle w:val="Akapitzlist"/>
        <w:numPr>
          <w:ilvl w:val="2"/>
          <w:numId w:val="3"/>
        </w:numPr>
        <w:tabs>
          <w:tab w:val="clear" w:pos="2160"/>
        </w:tabs>
        <w:snapToGrid w:val="0"/>
        <w:spacing w:after="120" w:line="276" w:lineRule="auto"/>
        <w:ind w:left="1276" w:hanging="567"/>
        <w:contextualSpacing w:val="0"/>
        <w:jc w:val="both"/>
        <w:rPr>
          <w:rFonts w:asciiTheme="minorHAnsi" w:hAnsiTheme="minorHAnsi" w:cstheme="minorHAnsi"/>
          <w:sz w:val="20"/>
          <w:szCs w:val="20"/>
        </w:rPr>
      </w:pPr>
      <w:r w:rsidRPr="00CD06CF">
        <w:rPr>
          <w:rFonts w:asciiTheme="minorHAnsi" w:hAnsiTheme="minorHAnsi" w:cstheme="minorHAnsi"/>
          <w:sz w:val="20"/>
          <w:szCs w:val="20"/>
        </w:rPr>
        <w:t xml:space="preserve">działania sił natury min. powodzi, zatopienia, </w:t>
      </w:r>
      <w:r w:rsidR="003D1E01" w:rsidRPr="00CD06CF">
        <w:rPr>
          <w:rFonts w:asciiTheme="minorHAnsi" w:hAnsiTheme="minorHAnsi" w:cstheme="minorHAnsi"/>
          <w:sz w:val="20"/>
          <w:szCs w:val="20"/>
        </w:rPr>
        <w:t xml:space="preserve">uderzenia </w:t>
      </w:r>
      <w:r w:rsidRPr="00CD06CF">
        <w:rPr>
          <w:rFonts w:asciiTheme="minorHAnsi" w:hAnsiTheme="minorHAnsi" w:cstheme="minorHAnsi"/>
          <w:sz w:val="20"/>
          <w:szCs w:val="20"/>
        </w:rPr>
        <w:t>piorun</w:t>
      </w:r>
      <w:r w:rsidR="003D1E01" w:rsidRPr="00CD06CF">
        <w:rPr>
          <w:rFonts w:asciiTheme="minorHAnsi" w:hAnsiTheme="minorHAnsi" w:cstheme="minorHAnsi"/>
          <w:sz w:val="20"/>
          <w:szCs w:val="20"/>
        </w:rPr>
        <w:t>a (pośrednio lub bezpośrednio)</w:t>
      </w:r>
      <w:r w:rsidRPr="00CD06CF">
        <w:rPr>
          <w:rFonts w:asciiTheme="minorHAnsi" w:hAnsiTheme="minorHAnsi" w:cstheme="minorHAnsi"/>
          <w:sz w:val="20"/>
          <w:szCs w:val="20"/>
        </w:rPr>
        <w:t>, pożaru, wybuchu, opadu atmosferycznego, huraganu, osuwania się ziemi,</w:t>
      </w:r>
    </w:p>
    <w:p w14:paraId="49572E9C" w14:textId="77777777" w:rsidR="00CD06CF" w:rsidRDefault="0041172C" w:rsidP="00CD06CF">
      <w:pPr>
        <w:pStyle w:val="Akapitzlist"/>
        <w:numPr>
          <w:ilvl w:val="2"/>
          <w:numId w:val="3"/>
        </w:numPr>
        <w:tabs>
          <w:tab w:val="clear" w:pos="2160"/>
        </w:tabs>
        <w:snapToGrid w:val="0"/>
        <w:spacing w:after="120" w:line="276" w:lineRule="auto"/>
        <w:ind w:left="1276" w:hanging="567"/>
        <w:contextualSpacing w:val="0"/>
        <w:jc w:val="both"/>
        <w:rPr>
          <w:rFonts w:asciiTheme="minorHAnsi" w:hAnsiTheme="minorHAnsi" w:cstheme="minorHAnsi"/>
          <w:sz w:val="20"/>
          <w:szCs w:val="20"/>
        </w:rPr>
      </w:pPr>
      <w:r w:rsidRPr="00CD06CF">
        <w:rPr>
          <w:rFonts w:asciiTheme="minorHAnsi" w:hAnsiTheme="minorHAnsi" w:cstheme="minorHAnsi"/>
          <w:sz w:val="20"/>
          <w:szCs w:val="20"/>
        </w:rPr>
        <w:t>nagłego działania czynnika termicznego lub chemicznego pochodzącego z zewnątrz</w:t>
      </w:r>
      <w:r w:rsidR="003D1E01" w:rsidRPr="00CD06CF">
        <w:rPr>
          <w:rFonts w:asciiTheme="minorHAnsi" w:hAnsiTheme="minorHAnsi" w:cstheme="minorHAnsi"/>
          <w:sz w:val="20"/>
          <w:szCs w:val="20"/>
        </w:rPr>
        <w:t xml:space="preserve"> jak i wewnątrz</w:t>
      </w:r>
      <w:r w:rsidRPr="00CD06CF">
        <w:rPr>
          <w:rFonts w:asciiTheme="minorHAnsi" w:hAnsiTheme="minorHAnsi" w:cstheme="minorHAnsi"/>
          <w:sz w:val="20"/>
          <w:szCs w:val="20"/>
        </w:rPr>
        <w:t xml:space="preserve"> pojazdu,</w:t>
      </w:r>
    </w:p>
    <w:p w14:paraId="07ABA1A5" w14:textId="77777777" w:rsidR="00CD06CF" w:rsidRDefault="003D1E01" w:rsidP="00CD06CF">
      <w:pPr>
        <w:pStyle w:val="Akapitzlist"/>
        <w:numPr>
          <w:ilvl w:val="2"/>
          <w:numId w:val="3"/>
        </w:numPr>
        <w:tabs>
          <w:tab w:val="clear" w:pos="2160"/>
        </w:tabs>
        <w:snapToGrid w:val="0"/>
        <w:spacing w:after="120" w:line="276" w:lineRule="auto"/>
        <w:ind w:left="1276" w:hanging="567"/>
        <w:contextualSpacing w:val="0"/>
        <w:jc w:val="both"/>
        <w:rPr>
          <w:rFonts w:asciiTheme="minorHAnsi" w:hAnsiTheme="minorHAnsi" w:cstheme="minorHAnsi"/>
          <w:sz w:val="20"/>
          <w:szCs w:val="20"/>
        </w:rPr>
      </w:pPr>
      <w:r w:rsidRPr="00CD06CF">
        <w:rPr>
          <w:rFonts w:asciiTheme="minorHAnsi" w:hAnsiTheme="minorHAnsi" w:cstheme="minorHAnsi"/>
          <w:sz w:val="20"/>
          <w:szCs w:val="20"/>
        </w:rPr>
        <w:t>przewrócenia się pojazdu w związku z ruchem,</w:t>
      </w:r>
    </w:p>
    <w:p w14:paraId="5AA2B4C5" w14:textId="0F04E115" w:rsidR="00D27B7D" w:rsidRDefault="0041172C" w:rsidP="00D964EB">
      <w:pPr>
        <w:pStyle w:val="Akapitzlist"/>
        <w:numPr>
          <w:ilvl w:val="2"/>
          <w:numId w:val="3"/>
        </w:numPr>
        <w:tabs>
          <w:tab w:val="clear" w:pos="2160"/>
        </w:tabs>
        <w:snapToGrid w:val="0"/>
        <w:spacing w:line="276" w:lineRule="auto"/>
        <w:ind w:left="1276" w:hanging="567"/>
        <w:contextualSpacing w:val="0"/>
        <w:jc w:val="both"/>
        <w:rPr>
          <w:rFonts w:asciiTheme="minorHAnsi" w:hAnsiTheme="minorHAnsi" w:cstheme="minorHAnsi"/>
          <w:sz w:val="20"/>
          <w:szCs w:val="20"/>
        </w:rPr>
      </w:pPr>
      <w:r w:rsidRPr="00CD06CF">
        <w:rPr>
          <w:rFonts w:asciiTheme="minorHAnsi" w:hAnsiTheme="minorHAnsi" w:cstheme="minorHAnsi"/>
          <w:sz w:val="20"/>
          <w:szCs w:val="20"/>
        </w:rPr>
        <w:t xml:space="preserve">uszkodzenia wnętrza pojazdu przez osoby, których przewóz wymagany był potrzebą udzielenia pomocy </w:t>
      </w:r>
      <w:r w:rsidR="00D27B7D" w:rsidRPr="00CD06CF">
        <w:rPr>
          <w:rFonts w:asciiTheme="minorHAnsi" w:hAnsiTheme="minorHAnsi" w:cstheme="minorHAnsi"/>
          <w:sz w:val="20"/>
          <w:szCs w:val="20"/>
        </w:rPr>
        <w:t>medycznej,</w:t>
      </w:r>
    </w:p>
    <w:p w14:paraId="493B9B46" w14:textId="77777777" w:rsidR="00D964EB" w:rsidRPr="00CD06CF" w:rsidRDefault="00D964EB" w:rsidP="00D964EB">
      <w:pPr>
        <w:pStyle w:val="Akapitzlist"/>
        <w:snapToGrid w:val="0"/>
        <w:spacing w:line="276" w:lineRule="auto"/>
        <w:ind w:left="1276"/>
        <w:contextualSpacing w:val="0"/>
        <w:jc w:val="both"/>
        <w:rPr>
          <w:rFonts w:asciiTheme="minorHAnsi" w:hAnsiTheme="minorHAnsi" w:cstheme="minorHAnsi"/>
          <w:sz w:val="20"/>
          <w:szCs w:val="20"/>
        </w:rPr>
      </w:pPr>
    </w:p>
    <w:p w14:paraId="6F7E03F6" w14:textId="77777777" w:rsidR="0041172C" w:rsidRPr="0034594B" w:rsidRDefault="0041172C" w:rsidP="00CD06CF">
      <w:pPr>
        <w:numPr>
          <w:ilvl w:val="0"/>
          <w:numId w:val="3"/>
        </w:numPr>
        <w:tabs>
          <w:tab w:val="clear" w:pos="390"/>
        </w:tabs>
        <w:snapToGrid w:val="0"/>
        <w:spacing w:after="120" w:line="276" w:lineRule="auto"/>
        <w:ind w:left="284"/>
        <w:jc w:val="both"/>
        <w:rPr>
          <w:rFonts w:asciiTheme="minorHAnsi" w:hAnsiTheme="minorHAnsi" w:cstheme="minorHAnsi"/>
          <w:sz w:val="20"/>
          <w:szCs w:val="20"/>
        </w:rPr>
      </w:pPr>
      <w:r w:rsidRPr="0034594B">
        <w:rPr>
          <w:rFonts w:asciiTheme="minorHAnsi" w:hAnsiTheme="minorHAnsi" w:cstheme="minorHAnsi"/>
          <w:b/>
          <w:sz w:val="20"/>
          <w:szCs w:val="20"/>
        </w:rPr>
        <w:t>Postanowienia dodatkowe</w:t>
      </w:r>
      <w:r w:rsidRPr="0034594B">
        <w:rPr>
          <w:rFonts w:asciiTheme="minorHAnsi" w:hAnsiTheme="minorHAnsi" w:cstheme="minorHAnsi"/>
          <w:sz w:val="20"/>
          <w:szCs w:val="20"/>
        </w:rPr>
        <w:t xml:space="preserve"> jakie będą miały zastosowanie do ubezpieczenia </w:t>
      </w:r>
      <w:proofErr w:type="spellStart"/>
      <w:r w:rsidRPr="0034594B">
        <w:rPr>
          <w:rFonts w:asciiTheme="minorHAnsi" w:hAnsiTheme="minorHAnsi" w:cstheme="minorHAnsi"/>
          <w:sz w:val="20"/>
          <w:szCs w:val="20"/>
        </w:rPr>
        <w:t>AutoCasco</w:t>
      </w:r>
      <w:proofErr w:type="spellEnd"/>
      <w:r w:rsidRPr="0034594B">
        <w:rPr>
          <w:rFonts w:asciiTheme="minorHAnsi" w:hAnsiTheme="minorHAnsi" w:cstheme="minorHAnsi"/>
          <w:sz w:val="20"/>
          <w:szCs w:val="20"/>
        </w:rPr>
        <w:t>:</w:t>
      </w:r>
    </w:p>
    <w:p w14:paraId="25F54668" w14:textId="77777777" w:rsidR="00F811A9" w:rsidRPr="0034594B" w:rsidRDefault="00F811A9" w:rsidP="00CD06CF">
      <w:pPr>
        <w:numPr>
          <w:ilvl w:val="1"/>
          <w:numId w:val="3"/>
        </w:numPr>
        <w:tabs>
          <w:tab w:val="clear" w:pos="1440"/>
        </w:tabs>
        <w:spacing w:after="120" w:line="276" w:lineRule="auto"/>
        <w:ind w:left="709" w:hanging="425"/>
        <w:jc w:val="both"/>
        <w:rPr>
          <w:rFonts w:asciiTheme="minorHAnsi" w:hAnsiTheme="minorHAnsi" w:cstheme="minorHAnsi"/>
          <w:sz w:val="20"/>
          <w:szCs w:val="20"/>
        </w:rPr>
      </w:pPr>
      <w:r w:rsidRPr="0034594B">
        <w:rPr>
          <w:rFonts w:asciiTheme="minorHAnsi" w:hAnsiTheme="minorHAnsi" w:cstheme="minorHAnsi"/>
          <w:sz w:val="20"/>
          <w:szCs w:val="20"/>
        </w:rPr>
        <w:t>Naruszenie przez kierującego ubezpieczonym pojazdem przepisów Ustawy prawo o ruchu drogowym mówiących o przekroczeniu dozwolonej prędkości lub innych przepisów nie skutkuje zmniejszeniem lub odmową wypłaty odszkodowania.</w:t>
      </w:r>
    </w:p>
    <w:p w14:paraId="01AC0A08" w14:textId="77777777" w:rsidR="00F811A9" w:rsidRPr="0034594B" w:rsidRDefault="00F811A9" w:rsidP="00CD06CF">
      <w:pPr>
        <w:numPr>
          <w:ilvl w:val="1"/>
          <w:numId w:val="3"/>
        </w:numPr>
        <w:tabs>
          <w:tab w:val="clear" w:pos="1440"/>
        </w:tabs>
        <w:spacing w:after="120" w:line="276" w:lineRule="auto"/>
        <w:ind w:left="709" w:hanging="425"/>
        <w:jc w:val="both"/>
        <w:rPr>
          <w:rFonts w:asciiTheme="minorHAnsi" w:hAnsiTheme="minorHAnsi" w:cstheme="minorHAnsi"/>
          <w:sz w:val="20"/>
          <w:szCs w:val="20"/>
        </w:rPr>
      </w:pPr>
      <w:r w:rsidRPr="0034594B">
        <w:rPr>
          <w:rFonts w:asciiTheme="minorHAnsi" w:hAnsiTheme="minorHAnsi" w:cstheme="minorHAnsi"/>
          <w:color w:val="000000" w:themeColor="text1"/>
          <w:sz w:val="20"/>
          <w:szCs w:val="20"/>
        </w:rPr>
        <w:t>Ubezpieczyciel obejmie swą odpowiedzialnością szkody spowodowane brakiem zimowego ogumienia.</w:t>
      </w:r>
    </w:p>
    <w:p w14:paraId="4901266E" w14:textId="72DD146D" w:rsidR="00F811A9" w:rsidRPr="0034594B" w:rsidRDefault="00F811A9" w:rsidP="00CD06CF">
      <w:pPr>
        <w:numPr>
          <w:ilvl w:val="1"/>
          <w:numId w:val="3"/>
        </w:numPr>
        <w:tabs>
          <w:tab w:val="clear" w:pos="1440"/>
        </w:tabs>
        <w:spacing w:after="120" w:line="276" w:lineRule="auto"/>
        <w:ind w:left="709" w:hanging="425"/>
        <w:jc w:val="both"/>
        <w:rPr>
          <w:rFonts w:asciiTheme="minorHAnsi" w:hAnsiTheme="minorHAnsi" w:cstheme="minorHAnsi"/>
          <w:sz w:val="20"/>
          <w:szCs w:val="20"/>
        </w:rPr>
      </w:pPr>
      <w:r w:rsidRPr="0034594B">
        <w:rPr>
          <w:rFonts w:asciiTheme="minorHAnsi" w:hAnsiTheme="minorHAnsi" w:cstheme="minorHAnsi"/>
          <w:color w:val="000000" w:themeColor="text1"/>
          <w:sz w:val="20"/>
          <w:szCs w:val="20"/>
        </w:rPr>
        <w:t xml:space="preserve">Dla szkód, których wartość nie przekroczy </w:t>
      </w:r>
      <w:r w:rsidR="00DA10FE">
        <w:rPr>
          <w:rFonts w:asciiTheme="minorHAnsi" w:hAnsiTheme="minorHAnsi" w:cstheme="minorHAnsi"/>
          <w:color w:val="000000" w:themeColor="text1"/>
          <w:sz w:val="20"/>
          <w:szCs w:val="20"/>
        </w:rPr>
        <w:t>5</w:t>
      </w:r>
      <w:r w:rsidRPr="0034594B">
        <w:rPr>
          <w:rFonts w:asciiTheme="minorHAnsi" w:hAnsiTheme="minorHAnsi" w:cstheme="minorHAnsi"/>
          <w:color w:val="000000" w:themeColor="text1"/>
          <w:sz w:val="20"/>
          <w:szCs w:val="20"/>
        </w:rPr>
        <w:t xml:space="preserve">.000,00 PLN zastosowanie mieć będzie uproszczona procedura likwidacyjna – </w:t>
      </w:r>
      <w:r w:rsidRPr="0034594B">
        <w:rPr>
          <w:rFonts w:asciiTheme="minorHAnsi" w:hAnsiTheme="minorHAnsi" w:cstheme="minorHAnsi"/>
          <w:b/>
          <w:color w:val="000000" w:themeColor="text1"/>
          <w:sz w:val="20"/>
          <w:szCs w:val="20"/>
        </w:rPr>
        <w:t>samolikwidacja</w:t>
      </w:r>
      <w:r w:rsidRPr="0034594B">
        <w:rPr>
          <w:rFonts w:asciiTheme="minorHAnsi" w:hAnsiTheme="minorHAnsi" w:cstheme="minorHAnsi"/>
          <w:color w:val="000000" w:themeColor="text1"/>
          <w:sz w:val="20"/>
          <w:szCs w:val="20"/>
        </w:rPr>
        <w:t>.</w:t>
      </w:r>
    </w:p>
    <w:p w14:paraId="4C2C2C6B" w14:textId="5DC10012" w:rsidR="00F811A9" w:rsidRPr="0034594B" w:rsidRDefault="00F811A9" w:rsidP="00CD06CF">
      <w:pPr>
        <w:numPr>
          <w:ilvl w:val="1"/>
          <w:numId w:val="3"/>
        </w:numPr>
        <w:tabs>
          <w:tab w:val="clear" w:pos="1440"/>
        </w:tabs>
        <w:spacing w:after="120" w:line="276" w:lineRule="auto"/>
        <w:ind w:left="709" w:hanging="425"/>
        <w:jc w:val="both"/>
        <w:rPr>
          <w:rFonts w:asciiTheme="minorHAnsi" w:hAnsiTheme="minorHAnsi" w:cstheme="minorHAnsi"/>
          <w:sz w:val="20"/>
          <w:szCs w:val="20"/>
        </w:rPr>
      </w:pPr>
      <w:r w:rsidRPr="0034594B">
        <w:rPr>
          <w:rFonts w:asciiTheme="minorHAnsi" w:hAnsiTheme="minorHAnsi" w:cstheme="minorHAnsi"/>
          <w:color w:val="000000" w:themeColor="text1"/>
          <w:sz w:val="20"/>
          <w:szCs w:val="20"/>
        </w:rPr>
        <w:t xml:space="preserve">Szkoda całkowita ma miejsce wówczas, gdy koszt naprawy pojazdu po szkodzie przekracza </w:t>
      </w:r>
      <w:r w:rsidR="00332CCB">
        <w:rPr>
          <w:rFonts w:asciiTheme="minorHAnsi" w:hAnsiTheme="minorHAnsi" w:cstheme="minorHAnsi"/>
          <w:color w:val="000000" w:themeColor="text1"/>
          <w:sz w:val="20"/>
          <w:szCs w:val="20"/>
        </w:rPr>
        <w:t>7</w:t>
      </w:r>
      <w:r w:rsidRPr="0034594B">
        <w:rPr>
          <w:rFonts w:asciiTheme="minorHAnsi" w:hAnsiTheme="minorHAnsi" w:cstheme="minorHAnsi"/>
          <w:color w:val="000000" w:themeColor="text1"/>
          <w:sz w:val="20"/>
          <w:szCs w:val="20"/>
        </w:rPr>
        <w:t>0% sumy ubezpieczenia.</w:t>
      </w:r>
    </w:p>
    <w:p w14:paraId="55B0D245" w14:textId="75F544BC" w:rsidR="00F811A9" w:rsidRPr="0034594B" w:rsidRDefault="00F811A9" w:rsidP="00CD06CF">
      <w:pPr>
        <w:numPr>
          <w:ilvl w:val="1"/>
          <w:numId w:val="3"/>
        </w:numPr>
        <w:tabs>
          <w:tab w:val="clear" w:pos="1440"/>
        </w:tabs>
        <w:spacing w:after="120" w:line="276" w:lineRule="auto"/>
        <w:ind w:left="709" w:hanging="425"/>
        <w:jc w:val="both"/>
        <w:rPr>
          <w:rFonts w:asciiTheme="minorHAnsi" w:hAnsiTheme="minorHAnsi" w:cstheme="minorHAnsi"/>
          <w:sz w:val="20"/>
          <w:szCs w:val="20"/>
        </w:rPr>
      </w:pPr>
      <w:r w:rsidRPr="0034594B">
        <w:rPr>
          <w:rFonts w:asciiTheme="minorHAnsi" w:hAnsiTheme="minorHAnsi" w:cstheme="minorHAnsi"/>
          <w:sz w:val="20"/>
          <w:szCs w:val="20"/>
        </w:rPr>
        <w:t>Ochrona ubezpieczeniowa obejmuje szkody powstałe podczas i/lub w związku z pobytem pojazdu w zakładzie naprawczym, myjni oraz podczas prób technicznych</w:t>
      </w:r>
      <w:r w:rsidR="00295BFC" w:rsidRPr="0034594B">
        <w:rPr>
          <w:rFonts w:asciiTheme="minorHAnsi" w:hAnsiTheme="minorHAnsi" w:cstheme="minorHAnsi"/>
          <w:sz w:val="20"/>
          <w:szCs w:val="20"/>
        </w:rPr>
        <w:t>,</w:t>
      </w:r>
      <w:r w:rsidRPr="0034594B">
        <w:rPr>
          <w:rFonts w:asciiTheme="minorHAnsi" w:hAnsiTheme="minorHAnsi" w:cstheme="minorHAnsi"/>
          <w:sz w:val="20"/>
          <w:szCs w:val="20"/>
        </w:rPr>
        <w:t xml:space="preserve"> a także podczas jazd próbnych przed i po naprawie bez ograniczania prawa ubezpieczyciela do regresu wobec sprawcy szkody.</w:t>
      </w:r>
    </w:p>
    <w:p w14:paraId="7B7F9341" w14:textId="33E3DC40" w:rsidR="00F811A9" w:rsidRPr="0034594B" w:rsidRDefault="00F811A9" w:rsidP="00CD06CF">
      <w:pPr>
        <w:numPr>
          <w:ilvl w:val="1"/>
          <w:numId w:val="3"/>
        </w:numPr>
        <w:tabs>
          <w:tab w:val="clear" w:pos="1440"/>
        </w:tabs>
        <w:spacing w:after="120" w:line="276" w:lineRule="auto"/>
        <w:ind w:left="709" w:hanging="567"/>
        <w:jc w:val="both"/>
        <w:rPr>
          <w:rFonts w:asciiTheme="minorHAnsi" w:hAnsiTheme="minorHAnsi" w:cstheme="minorHAnsi"/>
          <w:sz w:val="20"/>
          <w:szCs w:val="20"/>
        </w:rPr>
      </w:pPr>
      <w:r w:rsidRPr="0034594B">
        <w:rPr>
          <w:rFonts w:asciiTheme="minorHAnsi" w:hAnsiTheme="minorHAnsi" w:cstheme="minorHAnsi"/>
          <w:sz w:val="20"/>
          <w:szCs w:val="20"/>
        </w:rPr>
        <w:t>Wiek kierowcy ani okres posiadania prawa jazdy nie będzie miał wpływu na wysokość odszkodowania</w:t>
      </w:r>
    </w:p>
    <w:p w14:paraId="68411DEC" w14:textId="77777777" w:rsidR="00F811A9" w:rsidRPr="0034594B" w:rsidRDefault="00F811A9" w:rsidP="00CD06CF">
      <w:pPr>
        <w:numPr>
          <w:ilvl w:val="1"/>
          <w:numId w:val="3"/>
        </w:numPr>
        <w:tabs>
          <w:tab w:val="clear" w:pos="1440"/>
        </w:tabs>
        <w:spacing w:after="120" w:line="276" w:lineRule="auto"/>
        <w:ind w:left="709" w:hanging="567"/>
        <w:jc w:val="both"/>
        <w:rPr>
          <w:rFonts w:asciiTheme="minorHAnsi" w:hAnsiTheme="minorHAnsi" w:cstheme="minorHAnsi"/>
          <w:sz w:val="20"/>
          <w:szCs w:val="20"/>
        </w:rPr>
      </w:pPr>
      <w:r w:rsidRPr="0034594B">
        <w:rPr>
          <w:rFonts w:asciiTheme="minorHAnsi" w:hAnsiTheme="minorHAnsi" w:cstheme="minorHAnsi"/>
          <w:sz w:val="20"/>
          <w:szCs w:val="20"/>
        </w:rPr>
        <w:t>Ochrona ubezpieczeniowa obejmuje uszkodzenie lub zniszczenie pojazdu lub jego części przez zwierzęta</w:t>
      </w:r>
    </w:p>
    <w:p w14:paraId="2525C393" w14:textId="77777777" w:rsidR="00F811A9" w:rsidRPr="0034594B" w:rsidRDefault="00F811A9" w:rsidP="00CD06CF">
      <w:pPr>
        <w:numPr>
          <w:ilvl w:val="1"/>
          <w:numId w:val="3"/>
        </w:numPr>
        <w:tabs>
          <w:tab w:val="clear" w:pos="1440"/>
        </w:tabs>
        <w:spacing w:after="120" w:line="276" w:lineRule="auto"/>
        <w:ind w:left="709" w:hanging="567"/>
        <w:jc w:val="both"/>
        <w:rPr>
          <w:rFonts w:asciiTheme="minorHAnsi" w:hAnsiTheme="minorHAnsi" w:cstheme="minorHAnsi"/>
          <w:sz w:val="20"/>
          <w:szCs w:val="20"/>
        </w:rPr>
      </w:pPr>
      <w:r w:rsidRPr="0034594B">
        <w:rPr>
          <w:rFonts w:asciiTheme="minorHAnsi" w:hAnsiTheme="minorHAnsi" w:cstheme="minorHAnsi"/>
          <w:sz w:val="20"/>
          <w:szCs w:val="20"/>
        </w:rPr>
        <w:t>Ochrona ubezpieczeniowa obejmuje uszkodzenie lub zniszczenie opon bez względu na przyczynę (z wyłączeniem szkód eksploatacyjnych)</w:t>
      </w:r>
    </w:p>
    <w:p w14:paraId="34CC93E7" w14:textId="77777777" w:rsidR="00F811A9" w:rsidRPr="0034594B" w:rsidRDefault="00F811A9" w:rsidP="00CD06CF">
      <w:pPr>
        <w:numPr>
          <w:ilvl w:val="1"/>
          <w:numId w:val="3"/>
        </w:numPr>
        <w:tabs>
          <w:tab w:val="clear" w:pos="1440"/>
        </w:tabs>
        <w:spacing w:after="120" w:line="276" w:lineRule="auto"/>
        <w:ind w:left="709" w:hanging="567"/>
        <w:jc w:val="both"/>
        <w:rPr>
          <w:rFonts w:asciiTheme="minorHAnsi" w:hAnsiTheme="minorHAnsi" w:cstheme="minorHAnsi"/>
          <w:sz w:val="20"/>
          <w:szCs w:val="20"/>
        </w:rPr>
      </w:pPr>
      <w:r w:rsidRPr="0034594B">
        <w:rPr>
          <w:rFonts w:asciiTheme="minorHAnsi" w:hAnsiTheme="minorHAnsi" w:cstheme="minorHAnsi"/>
          <w:sz w:val="20"/>
          <w:szCs w:val="20"/>
        </w:rPr>
        <w:t xml:space="preserve">Przy wycenie kosztów naprawy nie stosuje się ubytku wartości części zamiennych (amortyzacji) z wyłączeniem ogumienia. </w:t>
      </w:r>
    </w:p>
    <w:p w14:paraId="2752D2EC" w14:textId="77777777" w:rsidR="00F811A9" w:rsidRPr="0034594B" w:rsidRDefault="00F811A9" w:rsidP="00CD06CF">
      <w:pPr>
        <w:numPr>
          <w:ilvl w:val="1"/>
          <w:numId w:val="3"/>
        </w:numPr>
        <w:tabs>
          <w:tab w:val="clear" w:pos="1440"/>
        </w:tabs>
        <w:spacing w:after="120" w:line="276" w:lineRule="auto"/>
        <w:ind w:left="709" w:hanging="567"/>
        <w:jc w:val="both"/>
        <w:rPr>
          <w:rFonts w:asciiTheme="minorHAnsi" w:hAnsiTheme="minorHAnsi" w:cstheme="minorHAnsi"/>
          <w:sz w:val="20"/>
          <w:szCs w:val="20"/>
        </w:rPr>
      </w:pPr>
      <w:r w:rsidRPr="0034594B">
        <w:rPr>
          <w:rFonts w:asciiTheme="minorHAnsi" w:hAnsiTheme="minorHAnsi" w:cstheme="minorHAnsi"/>
          <w:sz w:val="20"/>
          <w:szCs w:val="20"/>
        </w:rPr>
        <w:t xml:space="preserve">Likwidacja szkód następować będzie na podstawie rachunków lub kosztorysów (wyceny) albo w Autoryzowanych Serwisach Naprawczych. </w:t>
      </w:r>
    </w:p>
    <w:p w14:paraId="2F725E95" w14:textId="77777777" w:rsidR="00F811A9" w:rsidRPr="0034594B" w:rsidRDefault="00F811A9" w:rsidP="00CD06CF">
      <w:pPr>
        <w:numPr>
          <w:ilvl w:val="1"/>
          <w:numId w:val="3"/>
        </w:numPr>
        <w:tabs>
          <w:tab w:val="clear" w:pos="1440"/>
        </w:tabs>
        <w:spacing w:after="120" w:line="276" w:lineRule="auto"/>
        <w:ind w:left="709" w:hanging="567"/>
        <w:jc w:val="both"/>
        <w:rPr>
          <w:rFonts w:asciiTheme="minorHAnsi" w:hAnsiTheme="minorHAnsi" w:cstheme="minorHAnsi"/>
          <w:sz w:val="20"/>
          <w:szCs w:val="20"/>
        </w:rPr>
      </w:pPr>
      <w:r w:rsidRPr="0034594B">
        <w:rPr>
          <w:rFonts w:asciiTheme="minorHAnsi" w:hAnsiTheme="minorHAnsi" w:cstheme="minorHAnsi"/>
          <w:sz w:val="20"/>
          <w:szCs w:val="20"/>
        </w:rPr>
        <w:t>Udział własny ubezpieczającego w szkodzie i/lub franszyza redukcyjna zniesione.</w:t>
      </w:r>
    </w:p>
    <w:p w14:paraId="51A35278" w14:textId="77777777" w:rsidR="00F811A9" w:rsidRPr="0034594B" w:rsidRDefault="00F811A9" w:rsidP="00CD06CF">
      <w:pPr>
        <w:numPr>
          <w:ilvl w:val="1"/>
          <w:numId w:val="3"/>
        </w:numPr>
        <w:tabs>
          <w:tab w:val="clear" w:pos="1440"/>
        </w:tabs>
        <w:spacing w:after="120" w:line="276" w:lineRule="auto"/>
        <w:ind w:left="709" w:hanging="567"/>
        <w:jc w:val="both"/>
        <w:rPr>
          <w:rFonts w:asciiTheme="minorHAnsi" w:hAnsiTheme="minorHAnsi" w:cstheme="minorHAnsi"/>
          <w:sz w:val="20"/>
          <w:szCs w:val="20"/>
        </w:rPr>
      </w:pPr>
      <w:r w:rsidRPr="0034594B">
        <w:rPr>
          <w:rFonts w:asciiTheme="minorHAnsi" w:hAnsiTheme="minorHAnsi" w:cstheme="minorHAnsi"/>
          <w:sz w:val="20"/>
          <w:szCs w:val="20"/>
        </w:rPr>
        <w:lastRenderedPageBreak/>
        <w:t>Ubezpieczyciel obejmie odpowiedzialność za szkody spowodowane przez kierującego pojazdem nie posiadającym ważnych badań technicznych o ile stan techniczny pojazdu nie miał wpływu na zaistnienie szkody. Powyższe dotyczy wyłącznie sytuacji, kiedy szkoda wystąpiła nie później niż 30 dni od daty wygaśnięcia okresu ważności badania technicznego.</w:t>
      </w:r>
    </w:p>
    <w:p w14:paraId="019FA55B" w14:textId="77777777" w:rsidR="00F811A9" w:rsidRPr="0034594B" w:rsidRDefault="00F811A9" w:rsidP="00CD06CF">
      <w:pPr>
        <w:numPr>
          <w:ilvl w:val="1"/>
          <w:numId w:val="3"/>
        </w:numPr>
        <w:tabs>
          <w:tab w:val="clear" w:pos="1440"/>
        </w:tabs>
        <w:spacing w:after="120" w:line="276" w:lineRule="auto"/>
        <w:ind w:left="709" w:hanging="567"/>
        <w:jc w:val="both"/>
        <w:rPr>
          <w:rFonts w:asciiTheme="minorHAnsi" w:hAnsiTheme="minorHAnsi" w:cstheme="minorHAnsi"/>
          <w:sz w:val="20"/>
          <w:szCs w:val="20"/>
        </w:rPr>
      </w:pPr>
      <w:r w:rsidRPr="0034594B">
        <w:rPr>
          <w:rFonts w:asciiTheme="minorHAnsi" w:hAnsiTheme="minorHAnsi" w:cstheme="minorHAnsi"/>
          <w:sz w:val="20"/>
          <w:szCs w:val="20"/>
        </w:rPr>
        <w:t>Nie stosuje się pomniejszenia sumy ubezpieczenia o wypłacone odszkodowanie (zniesienie konsumpcji sumy ubezpieczenia).</w:t>
      </w:r>
    </w:p>
    <w:p w14:paraId="64974CC7" w14:textId="50ABC88B" w:rsidR="00F811A9" w:rsidRDefault="00F811A9" w:rsidP="00D964EB">
      <w:pPr>
        <w:numPr>
          <w:ilvl w:val="1"/>
          <w:numId w:val="3"/>
        </w:numPr>
        <w:tabs>
          <w:tab w:val="clear" w:pos="1440"/>
        </w:tabs>
        <w:snapToGrid w:val="0"/>
        <w:spacing w:line="276" w:lineRule="auto"/>
        <w:ind w:left="709" w:hanging="567"/>
        <w:jc w:val="both"/>
        <w:rPr>
          <w:rFonts w:asciiTheme="minorHAnsi" w:hAnsiTheme="minorHAnsi" w:cstheme="minorHAnsi"/>
          <w:sz w:val="20"/>
          <w:szCs w:val="20"/>
        </w:rPr>
      </w:pPr>
      <w:r w:rsidRPr="0034594B">
        <w:rPr>
          <w:rFonts w:asciiTheme="minorHAnsi" w:hAnsiTheme="minorHAnsi" w:cstheme="minorHAnsi"/>
          <w:sz w:val="20"/>
          <w:szCs w:val="20"/>
        </w:rPr>
        <w:t>Szkody wyrządzone ubezpieczającemu przez innych posiadaczy pojazdów mechanicznych będą podlegały likwidacji z polisy AC.</w:t>
      </w:r>
    </w:p>
    <w:p w14:paraId="69396B8A" w14:textId="77777777" w:rsidR="00D964EB" w:rsidRPr="0034594B" w:rsidRDefault="00D964EB" w:rsidP="00D964EB">
      <w:pPr>
        <w:snapToGrid w:val="0"/>
        <w:spacing w:line="276" w:lineRule="auto"/>
        <w:ind w:left="709"/>
        <w:jc w:val="both"/>
        <w:rPr>
          <w:rFonts w:asciiTheme="minorHAnsi" w:hAnsiTheme="minorHAnsi" w:cstheme="minorHAnsi"/>
          <w:sz w:val="20"/>
          <w:szCs w:val="20"/>
        </w:rPr>
      </w:pPr>
    </w:p>
    <w:p w14:paraId="6ADB428B" w14:textId="2D7DAF60" w:rsidR="0041172C" w:rsidRPr="0034594B" w:rsidRDefault="0041172C" w:rsidP="00CD06CF">
      <w:pPr>
        <w:numPr>
          <w:ilvl w:val="0"/>
          <w:numId w:val="3"/>
        </w:numPr>
        <w:tabs>
          <w:tab w:val="clear" w:pos="390"/>
        </w:tabs>
        <w:snapToGrid w:val="0"/>
        <w:spacing w:after="120" w:line="276" w:lineRule="auto"/>
        <w:ind w:left="284"/>
        <w:jc w:val="both"/>
        <w:rPr>
          <w:rFonts w:asciiTheme="minorHAnsi" w:hAnsiTheme="minorHAnsi" w:cstheme="minorHAnsi"/>
          <w:b/>
          <w:sz w:val="20"/>
          <w:szCs w:val="20"/>
        </w:rPr>
      </w:pPr>
      <w:r w:rsidRPr="0034594B">
        <w:rPr>
          <w:rFonts w:asciiTheme="minorHAnsi" w:hAnsiTheme="minorHAnsi" w:cstheme="minorHAnsi"/>
          <w:b/>
          <w:sz w:val="20"/>
          <w:szCs w:val="20"/>
        </w:rPr>
        <w:t>Suma ubezpieczenia</w:t>
      </w:r>
    </w:p>
    <w:p w14:paraId="7894BF69" w14:textId="77777777" w:rsidR="0041172C" w:rsidRPr="0034594B" w:rsidRDefault="0041172C" w:rsidP="00CD06CF">
      <w:pPr>
        <w:numPr>
          <w:ilvl w:val="1"/>
          <w:numId w:val="3"/>
        </w:numPr>
        <w:tabs>
          <w:tab w:val="clear" w:pos="1440"/>
        </w:tabs>
        <w:snapToGrid w:val="0"/>
        <w:spacing w:after="120" w:line="276" w:lineRule="auto"/>
        <w:ind w:left="709" w:hanging="425"/>
        <w:jc w:val="both"/>
        <w:rPr>
          <w:rFonts w:asciiTheme="minorHAnsi" w:hAnsiTheme="minorHAnsi" w:cstheme="minorHAnsi"/>
          <w:sz w:val="20"/>
          <w:szCs w:val="20"/>
        </w:rPr>
      </w:pPr>
      <w:r w:rsidRPr="0034594B">
        <w:rPr>
          <w:rFonts w:asciiTheme="minorHAnsi" w:hAnsiTheme="minorHAnsi" w:cstheme="minorHAnsi"/>
          <w:sz w:val="20"/>
          <w:szCs w:val="20"/>
        </w:rPr>
        <w:t>Sumę ubezpieczenia pojazdu będzie stanowiła:</w:t>
      </w:r>
    </w:p>
    <w:p w14:paraId="7D801527" w14:textId="6FDBCB88" w:rsidR="0041172C" w:rsidRPr="0034594B" w:rsidRDefault="0041172C" w:rsidP="00CD06CF">
      <w:pPr>
        <w:numPr>
          <w:ilvl w:val="2"/>
          <w:numId w:val="3"/>
        </w:numPr>
        <w:tabs>
          <w:tab w:val="clear" w:pos="2160"/>
        </w:tabs>
        <w:snapToGrid w:val="0"/>
        <w:spacing w:after="120" w:line="276" w:lineRule="auto"/>
        <w:ind w:left="1276" w:hanging="567"/>
        <w:jc w:val="both"/>
        <w:rPr>
          <w:rFonts w:asciiTheme="minorHAnsi" w:hAnsiTheme="minorHAnsi" w:cstheme="minorHAnsi"/>
          <w:sz w:val="20"/>
          <w:szCs w:val="20"/>
        </w:rPr>
      </w:pPr>
      <w:r w:rsidRPr="0034594B">
        <w:rPr>
          <w:rFonts w:asciiTheme="minorHAnsi" w:hAnsiTheme="minorHAnsi" w:cstheme="minorHAnsi"/>
          <w:sz w:val="20"/>
          <w:szCs w:val="20"/>
        </w:rPr>
        <w:t>dla fabrycznie nowych pojazdów</w:t>
      </w:r>
      <w:r w:rsidR="00885738" w:rsidRPr="0034594B">
        <w:rPr>
          <w:rFonts w:asciiTheme="minorHAnsi" w:hAnsiTheme="minorHAnsi" w:cstheme="minorHAnsi"/>
          <w:sz w:val="20"/>
          <w:szCs w:val="20"/>
        </w:rPr>
        <w:t>:</w:t>
      </w:r>
      <w:r w:rsidRPr="0034594B">
        <w:rPr>
          <w:rFonts w:asciiTheme="minorHAnsi" w:hAnsiTheme="minorHAnsi" w:cstheme="minorHAnsi"/>
          <w:sz w:val="20"/>
          <w:szCs w:val="20"/>
        </w:rPr>
        <w:t xml:space="preserve"> </w:t>
      </w:r>
      <w:r w:rsidR="00D70423" w:rsidRPr="0034594B">
        <w:rPr>
          <w:rFonts w:asciiTheme="minorHAnsi" w:hAnsiTheme="minorHAnsi" w:cstheme="minorHAnsi"/>
          <w:sz w:val="20"/>
          <w:szCs w:val="20"/>
        </w:rPr>
        <w:t>wartości fakturowej brutto (z podatkiem VAT), netto (bez podatku VAT) lub netto + 50% VAT</w:t>
      </w:r>
      <w:r w:rsidRPr="0034594B">
        <w:rPr>
          <w:rFonts w:asciiTheme="minorHAnsi" w:hAnsiTheme="minorHAnsi" w:cstheme="minorHAnsi"/>
          <w:sz w:val="20"/>
          <w:szCs w:val="20"/>
        </w:rPr>
        <w:t>, powiększona o udzielony rabat;</w:t>
      </w:r>
    </w:p>
    <w:p w14:paraId="5E1C11EC" w14:textId="60096339" w:rsidR="006800E5" w:rsidRDefault="006800E5" w:rsidP="00CD06CF">
      <w:pPr>
        <w:numPr>
          <w:ilvl w:val="2"/>
          <w:numId w:val="3"/>
        </w:numPr>
        <w:tabs>
          <w:tab w:val="clear" w:pos="2160"/>
        </w:tabs>
        <w:snapToGrid w:val="0"/>
        <w:spacing w:after="120" w:line="276" w:lineRule="auto"/>
        <w:ind w:left="1276" w:hanging="567"/>
        <w:jc w:val="both"/>
        <w:rPr>
          <w:rFonts w:asciiTheme="minorHAnsi" w:hAnsiTheme="minorHAnsi" w:cstheme="minorHAnsi"/>
          <w:sz w:val="20"/>
          <w:szCs w:val="20"/>
        </w:rPr>
      </w:pPr>
      <w:r w:rsidRPr="0034594B">
        <w:rPr>
          <w:rFonts w:asciiTheme="minorHAnsi" w:hAnsiTheme="minorHAnsi" w:cstheme="minorHAnsi"/>
          <w:sz w:val="20"/>
          <w:szCs w:val="20"/>
        </w:rPr>
        <w:t>Suma ubezpieczenia pojazdów, których okres eksploatacji nie przekroczył 6 miesięcy od daty jego nabycia przez ubezpieczającego jako fabrycznie nowego, a pojazd wcześniej nie uległ uszkodzeniu, ustalona będzie w wartości fakturowej brutto (z podatkiem VAT) lub netto (bez podatku VAT).</w:t>
      </w:r>
    </w:p>
    <w:p w14:paraId="633071A6" w14:textId="5484D561" w:rsidR="0034594B" w:rsidRPr="0034594B" w:rsidRDefault="0034594B" w:rsidP="00CD06CF">
      <w:pPr>
        <w:numPr>
          <w:ilvl w:val="2"/>
          <w:numId w:val="3"/>
        </w:numPr>
        <w:tabs>
          <w:tab w:val="clear" w:pos="2160"/>
        </w:tabs>
        <w:snapToGrid w:val="0"/>
        <w:spacing w:after="120" w:line="276" w:lineRule="auto"/>
        <w:ind w:left="1276" w:hanging="567"/>
        <w:jc w:val="both"/>
        <w:rPr>
          <w:rFonts w:asciiTheme="minorHAnsi" w:hAnsiTheme="minorHAnsi" w:cstheme="minorHAnsi"/>
          <w:sz w:val="20"/>
          <w:szCs w:val="20"/>
        </w:rPr>
      </w:pPr>
      <w:r w:rsidRPr="0034594B">
        <w:rPr>
          <w:rFonts w:asciiTheme="minorHAnsi" w:hAnsiTheme="minorHAnsi" w:cstheme="minorHAnsi"/>
          <w:sz w:val="20"/>
          <w:szCs w:val="20"/>
        </w:rPr>
        <w:t>Suma ubezpieczenia pojazdów użytkowanych na podstawie umowy leasingu, użyczenia albo innej umowy korzystania z cudzej rzeczy może być zadeklarowana przez ubezpieczającego w sposób opisany wyżej, albo określona przez właściciela pojazdu.</w:t>
      </w:r>
    </w:p>
    <w:p w14:paraId="01937D93" w14:textId="70580124" w:rsidR="0041172C" w:rsidRDefault="0041172C" w:rsidP="00D964EB">
      <w:pPr>
        <w:numPr>
          <w:ilvl w:val="2"/>
          <w:numId w:val="3"/>
        </w:numPr>
        <w:tabs>
          <w:tab w:val="clear" w:pos="2160"/>
        </w:tabs>
        <w:snapToGrid w:val="0"/>
        <w:spacing w:line="276" w:lineRule="auto"/>
        <w:ind w:left="1276" w:hanging="567"/>
        <w:jc w:val="both"/>
        <w:rPr>
          <w:rFonts w:asciiTheme="minorHAnsi" w:hAnsiTheme="minorHAnsi" w:cstheme="minorHAnsi"/>
          <w:sz w:val="20"/>
          <w:szCs w:val="20"/>
        </w:rPr>
      </w:pPr>
      <w:r w:rsidRPr="0034594B">
        <w:rPr>
          <w:rFonts w:asciiTheme="minorHAnsi" w:hAnsiTheme="minorHAnsi" w:cstheme="minorHAnsi"/>
          <w:sz w:val="20"/>
          <w:szCs w:val="20"/>
        </w:rPr>
        <w:t>dla pojazdów zakupionych jako używane lub już wcześniej używanych przez Ubezpieczającego</w:t>
      </w:r>
      <w:r w:rsidR="00885738" w:rsidRPr="0034594B">
        <w:rPr>
          <w:rFonts w:asciiTheme="minorHAnsi" w:hAnsiTheme="minorHAnsi" w:cstheme="minorHAnsi"/>
          <w:sz w:val="20"/>
          <w:szCs w:val="20"/>
        </w:rPr>
        <w:t xml:space="preserve">: </w:t>
      </w:r>
      <w:r w:rsidRPr="0034594B">
        <w:rPr>
          <w:rFonts w:asciiTheme="minorHAnsi" w:hAnsiTheme="minorHAnsi" w:cstheme="minorHAnsi"/>
          <w:sz w:val="20"/>
          <w:szCs w:val="20"/>
        </w:rPr>
        <w:t>wartość rynkowa określana w oparciu o aktualny ka</w:t>
      </w:r>
      <w:r w:rsidR="00A40440" w:rsidRPr="0034594B">
        <w:rPr>
          <w:rFonts w:asciiTheme="minorHAnsi" w:hAnsiTheme="minorHAnsi" w:cstheme="minorHAnsi"/>
          <w:sz w:val="20"/>
          <w:szCs w:val="20"/>
        </w:rPr>
        <w:t xml:space="preserve">talog Info-Ekspert oraz </w:t>
      </w:r>
      <w:proofErr w:type="spellStart"/>
      <w:r w:rsidR="00A40440" w:rsidRPr="0034594B">
        <w:rPr>
          <w:rFonts w:asciiTheme="minorHAnsi" w:hAnsiTheme="minorHAnsi" w:cstheme="minorHAnsi"/>
          <w:sz w:val="20"/>
          <w:szCs w:val="20"/>
        </w:rPr>
        <w:t>Eurotax</w:t>
      </w:r>
      <w:proofErr w:type="spellEnd"/>
      <w:r w:rsidR="00A40440" w:rsidRPr="0034594B">
        <w:rPr>
          <w:rFonts w:asciiTheme="minorHAnsi" w:hAnsiTheme="minorHAnsi" w:cstheme="minorHAnsi"/>
          <w:sz w:val="20"/>
          <w:szCs w:val="20"/>
        </w:rPr>
        <w:t xml:space="preserve"> </w:t>
      </w:r>
      <w:r w:rsidRPr="0034594B">
        <w:rPr>
          <w:rFonts w:asciiTheme="minorHAnsi" w:hAnsiTheme="minorHAnsi" w:cstheme="minorHAnsi"/>
          <w:sz w:val="20"/>
          <w:szCs w:val="20"/>
        </w:rPr>
        <w:t>z uwzględnieniem stanu technicznego pojazdu, ustalana każdorazowo przed rozpoczęciem okresu ubezpiec</w:t>
      </w:r>
      <w:r w:rsidR="00A40440" w:rsidRPr="0034594B">
        <w:rPr>
          <w:rFonts w:asciiTheme="minorHAnsi" w:hAnsiTheme="minorHAnsi" w:cstheme="minorHAnsi"/>
          <w:sz w:val="20"/>
          <w:szCs w:val="20"/>
        </w:rPr>
        <w:t xml:space="preserve">zenia (w zależności od wniosku </w:t>
      </w:r>
      <w:r w:rsidRPr="0034594B">
        <w:rPr>
          <w:rFonts w:asciiTheme="minorHAnsi" w:hAnsiTheme="minorHAnsi" w:cstheme="minorHAnsi"/>
          <w:sz w:val="20"/>
          <w:szCs w:val="20"/>
        </w:rPr>
        <w:t>z VAT o ile nie ma podstaw do jego odliczenia). W ramach sumy ubezpieczenia uwzględniono wyposażenie dodatkowe fabryczne lub montowane przy zakupie nowego pojazdu, którego wartość wliczona była w cenę pojazdu.</w:t>
      </w:r>
    </w:p>
    <w:p w14:paraId="7B30C26D" w14:textId="77777777" w:rsidR="00D964EB" w:rsidRPr="0034594B" w:rsidRDefault="00D964EB" w:rsidP="00D964EB">
      <w:pPr>
        <w:snapToGrid w:val="0"/>
        <w:spacing w:line="276" w:lineRule="auto"/>
        <w:ind w:left="1276"/>
        <w:jc w:val="both"/>
        <w:rPr>
          <w:rFonts w:asciiTheme="minorHAnsi" w:hAnsiTheme="minorHAnsi" w:cstheme="minorHAnsi"/>
          <w:sz w:val="20"/>
          <w:szCs w:val="20"/>
        </w:rPr>
      </w:pPr>
    </w:p>
    <w:p w14:paraId="46D3F322" w14:textId="2BBF6211" w:rsidR="00D964EB" w:rsidRPr="00D964EB" w:rsidRDefault="0041172C" w:rsidP="00D964EB">
      <w:pPr>
        <w:numPr>
          <w:ilvl w:val="0"/>
          <w:numId w:val="3"/>
        </w:numPr>
        <w:tabs>
          <w:tab w:val="clear" w:pos="390"/>
        </w:tabs>
        <w:snapToGrid w:val="0"/>
        <w:spacing w:after="120" w:line="276" w:lineRule="auto"/>
        <w:ind w:left="283" w:hanging="391"/>
        <w:jc w:val="both"/>
        <w:rPr>
          <w:rFonts w:asciiTheme="minorHAnsi" w:hAnsiTheme="minorHAnsi" w:cstheme="minorHAnsi"/>
          <w:sz w:val="20"/>
          <w:szCs w:val="20"/>
        </w:rPr>
      </w:pPr>
      <w:r w:rsidRPr="0034594B">
        <w:rPr>
          <w:rFonts w:asciiTheme="minorHAnsi" w:hAnsiTheme="minorHAnsi" w:cstheme="minorHAnsi"/>
          <w:b/>
          <w:sz w:val="20"/>
          <w:szCs w:val="20"/>
        </w:rPr>
        <w:t>Franszyz</w:t>
      </w:r>
      <w:r w:rsidR="00D964EB">
        <w:rPr>
          <w:rFonts w:asciiTheme="minorHAnsi" w:hAnsiTheme="minorHAnsi" w:cstheme="minorHAnsi"/>
          <w:b/>
          <w:sz w:val="20"/>
          <w:szCs w:val="20"/>
        </w:rPr>
        <w:t>y</w:t>
      </w:r>
    </w:p>
    <w:p w14:paraId="43138A52" w14:textId="77777777" w:rsidR="00D964EB" w:rsidRPr="00D964EB" w:rsidRDefault="00D964EB" w:rsidP="00D964EB">
      <w:pPr>
        <w:pStyle w:val="Akapitzlist"/>
        <w:numPr>
          <w:ilvl w:val="1"/>
          <w:numId w:val="3"/>
        </w:numPr>
        <w:tabs>
          <w:tab w:val="clear" w:pos="1440"/>
        </w:tabs>
        <w:snapToGrid w:val="0"/>
        <w:spacing w:line="276" w:lineRule="auto"/>
        <w:ind w:left="709" w:hanging="425"/>
        <w:jc w:val="both"/>
        <w:rPr>
          <w:rFonts w:asciiTheme="minorHAnsi" w:hAnsiTheme="minorHAnsi" w:cstheme="minorHAnsi"/>
          <w:bCs/>
          <w:sz w:val="20"/>
          <w:szCs w:val="20"/>
        </w:rPr>
      </w:pPr>
      <w:r w:rsidRPr="00D964EB">
        <w:rPr>
          <w:rFonts w:asciiTheme="minorHAnsi" w:hAnsiTheme="minorHAnsi" w:cstheme="minorHAnsi"/>
          <w:bCs/>
          <w:sz w:val="20"/>
          <w:szCs w:val="20"/>
        </w:rPr>
        <w:t xml:space="preserve">Franszyza </w:t>
      </w:r>
      <w:r w:rsidR="0041172C" w:rsidRPr="00D964EB">
        <w:rPr>
          <w:rFonts w:asciiTheme="minorHAnsi" w:hAnsiTheme="minorHAnsi" w:cstheme="minorHAnsi"/>
          <w:bCs/>
          <w:sz w:val="20"/>
          <w:szCs w:val="20"/>
        </w:rPr>
        <w:t>redukcyjna</w:t>
      </w:r>
      <w:r w:rsidR="00CD06CF" w:rsidRPr="00D964EB">
        <w:rPr>
          <w:rFonts w:asciiTheme="minorHAnsi" w:hAnsiTheme="minorHAnsi" w:cstheme="minorHAnsi"/>
          <w:bCs/>
          <w:sz w:val="20"/>
          <w:szCs w:val="20"/>
        </w:rPr>
        <w:t>:</w:t>
      </w:r>
      <w:r w:rsidR="0041172C" w:rsidRPr="00D964EB">
        <w:rPr>
          <w:rFonts w:asciiTheme="minorHAnsi" w:hAnsiTheme="minorHAnsi" w:cstheme="minorHAnsi"/>
          <w:bCs/>
          <w:sz w:val="20"/>
          <w:szCs w:val="20"/>
        </w:rPr>
        <w:t xml:space="preserve"> </w:t>
      </w:r>
      <w:r w:rsidR="0041172C" w:rsidRPr="00D964EB">
        <w:rPr>
          <w:rFonts w:asciiTheme="minorHAnsi" w:hAnsiTheme="minorHAnsi" w:cstheme="minorHAnsi"/>
          <w:b/>
          <w:sz w:val="20"/>
          <w:szCs w:val="20"/>
        </w:rPr>
        <w:t>brak</w:t>
      </w:r>
    </w:p>
    <w:p w14:paraId="7F620C56" w14:textId="2101726E" w:rsidR="00295BFC" w:rsidRPr="00D964EB" w:rsidRDefault="0041172C" w:rsidP="00D964EB">
      <w:pPr>
        <w:pStyle w:val="Akapitzlist"/>
        <w:numPr>
          <w:ilvl w:val="1"/>
          <w:numId w:val="3"/>
        </w:numPr>
        <w:tabs>
          <w:tab w:val="clear" w:pos="1440"/>
        </w:tabs>
        <w:snapToGrid w:val="0"/>
        <w:spacing w:line="276" w:lineRule="auto"/>
        <w:ind w:left="709" w:hanging="425"/>
        <w:jc w:val="both"/>
        <w:rPr>
          <w:rFonts w:asciiTheme="minorHAnsi" w:hAnsiTheme="minorHAnsi" w:cstheme="minorHAnsi"/>
          <w:bCs/>
          <w:sz w:val="20"/>
          <w:szCs w:val="20"/>
        </w:rPr>
      </w:pPr>
      <w:r w:rsidRPr="00D964EB">
        <w:rPr>
          <w:rFonts w:asciiTheme="minorHAnsi" w:hAnsiTheme="minorHAnsi" w:cstheme="minorHAnsi"/>
          <w:bCs/>
          <w:sz w:val="20"/>
          <w:szCs w:val="20"/>
        </w:rPr>
        <w:t>Franszyza integralna</w:t>
      </w:r>
      <w:r w:rsidR="00CD06CF" w:rsidRPr="00D964EB">
        <w:rPr>
          <w:rFonts w:asciiTheme="minorHAnsi" w:hAnsiTheme="minorHAnsi" w:cstheme="minorHAnsi"/>
          <w:bCs/>
          <w:sz w:val="20"/>
          <w:szCs w:val="20"/>
        </w:rPr>
        <w:t>:</w:t>
      </w:r>
      <w:r w:rsidRPr="00D964EB">
        <w:rPr>
          <w:rFonts w:asciiTheme="minorHAnsi" w:hAnsiTheme="minorHAnsi" w:cstheme="minorHAnsi"/>
          <w:bCs/>
          <w:sz w:val="20"/>
          <w:szCs w:val="20"/>
        </w:rPr>
        <w:t xml:space="preserve"> </w:t>
      </w:r>
      <w:r w:rsidR="00056E0D">
        <w:rPr>
          <w:rFonts w:asciiTheme="minorHAnsi" w:hAnsiTheme="minorHAnsi" w:cstheme="minorHAnsi"/>
          <w:b/>
          <w:sz w:val="20"/>
          <w:szCs w:val="20"/>
        </w:rPr>
        <w:t>300,00 PLN</w:t>
      </w:r>
    </w:p>
    <w:p w14:paraId="21B73E7E" w14:textId="77777777" w:rsidR="00D964EB" w:rsidRPr="00D964EB" w:rsidRDefault="00D964EB" w:rsidP="00D964EB">
      <w:pPr>
        <w:pStyle w:val="Akapitzlist"/>
        <w:snapToGrid w:val="0"/>
        <w:spacing w:line="276" w:lineRule="auto"/>
        <w:ind w:left="709"/>
        <w:jc w:val="both"/>
        <w:rPr>
          <w:rFonts w:asciiTheme="minorHAnsi" w:hAnsiTheme="minorHAnsi" w:cstheme="minorHAnsi"/>
          <w:bCs/>
          <w:sz w:val="20"/>
          <w:szCs w:val="20"/>
        </w:rPr>
      </w:pPr>
    </w:p>
    <w:p w14:paraId="0F50FBC3" w14:textId="77777777" w:rsidR="00D964EB" w:rsidRDefault="00295BFC" w:rsidP="00D964EB">
      <w:pPr>
        <w:pStyle w:val="Akapitzlist"/>
        <w:keepNext/>
        <w:numPr>
          <w:ilvl w:val="0"/>
          <w:numId w:val="3"/>
        </w:numPr>
        <w:tabs>
          <w:tab w:val="clear" w:pos="390"/>
        </w:tabs>
        <w:snapToGrid w:val="0"/>
        <w:spacing w:after="120" w:line="276" w:lineRule="auto"/>
        <w:ind w:left="283" w:hanging="391"/>
        <w:contextualSpacing w:val="0"/>
        <w:jc w:val="both"/>
        <w:outlineLvl w:val="1"/>
        <w:rPr>
          <w:rFonts w:asciiTheme="minorHAnsi" w:hAnsiTheme="minorHAnsi" w:cstheme="minorHAnsi"/>
          <w:b/>
          <w:sz w:val="20"/>
          <w:szCs w:val="20"/>
        </w:rPr>
      </w:pPr>
      <w:r w:rsidRPr="0034594B">
        <w:rPr>
          <w:rFonts w:asciiTheme="minorHAnsi" w:hAnsiTheme="minorHAnsi" w:cstheme="minorHAnsi"/>
          <w:b/>
          <w:sz w:val="20"/>
          <w:szCs w:val="20"/>
        </w:rPr>
        <w:t>Zakres terytorialny</w:t>
      </w:r>
    </w:p>
    <w:p w14:paraId="29C5A965" w14:textId="5166C978" w:rsidR="0041172C" w:rsidRPr="00CD06CF" w:rsidRDefault="00295BFC" w:rsidP="00D964EB">
      <w:pPr>
        <w:pStyle w:val="Akapitzlist"/>
        <w:keepNext/>
        <w:numPr>
          <w:ilvl w:val="1"/>
          <w:numId w:val="3"/>
        </w:numPr>
        <w:tabs>
          <w:tab w:val="clear" w:pos="1440"/>
        </w:tabs>
        <w:snapToGrid w:val="0"/>
        <w:spacing w:line="276" w:lineRule="auto"/>
        <w:ind w:left="709" w:hanging="425"/>
        <w:contextualSpacing w:val="0"/>
        <w:jc w:val="both"/>
        <w:outlineLvl w:val="1"/>
        <w:rPr>
          <w:rFonts w:asciiTheme="minorHAnsi" w:hAnsiTheme="minorHAnsi" w:cstheme="minorHAnsi"/>
          <w:b/>
          <w:sz w:val="20"/>
          <w:szCs w:val="20"/>
        </w:rPr>
      </w:pPr>
      <w:r w:rsidRPr="00CD06CF">
        <w:rPr>
          <w:rFonts w:asciiTheme="minorHAnsi" w:hAnsiTheme="minorHAnsi" w:cstheme="minorHAnsi"/>
          <w:sz w:val="20"/>
          <w:szCs w:val="20"/>
        </w:rPr>
        <w:t>Europa (UE)</w:t>
      </w:r>
    </w:p>
    <w:p w14:paraId="6B2A88A8" w14:textId="27EA1FD3" w:rsidR="00B8403A" w:rsidRDefault="00B8403A" w:rsidP="00D964EB">
      <w:pPr>
        <w:snapToGrid w:val="0"/>
        <w:spacing w:line="276" w:lineRule="auto"/>
        <w:rPr>
          <w:rFonts w:asciiTheme="minorHAnsi" w:hAnsiTheme="minorHAnsi" w:cstheme="minorHAnsi"/>
          <w:b/>
          <w:bCs/>
          <w:i/>
          <w:sz w:val="20"/>
          <w:szCs w:val="20"/>
        </w:rPr>
      </w:pPr>
    </w:p>
    <w:p w14:paraId="2688B41B" w14:textId="487F1C38" w:rsidR="00CD06CF" w:rsidRDefault="00CD06CF" w:rsidP="00D964EB">
      <w:pPr>
        <w:snapToGrid w:val="0"/>
        <w:spacing w:line="276" w:lineRule="auto"/>
        <w:rPr>
          <w:rFonts w:asciiTheme="minorHAnsi" w:hAnsiTheme="minorHAnsi" w:cstheme="minorHAnsi"/>
          <w:b/>
          <w:bCs/>
          <w:i/>
          <w:sz w:val="20"/>
          <w:szCs w:val="20"/>
        </w:rPr>
      </w:pPr>
    </w:p>
    <w:p w14:paraId="1F004A61" w14:textId="45766C6E" w:rsidR="0041172C" w:rsidRPr="0034594B" w:rsidRDefault="0041172C" w:rsidP="00CD06CF">
      <w:pPr>
        <w:spacing w:line="276" w:lineRule="auto"/>
        <w:jc w:val="center"/>
        <w:rPr>
          <w:rFonts w:asciiTheme="minorHAnsi" w:hAnsiTheme="minorHAnsi" w:cstheme="minorHAnsi"/>
          <w:b/>
          <w:bCs/>
          <w:i/>
          <w:sz w:val="20"/>
          <w:szCs w:val="20"/>
        </w:rPr>
      </w:pPr>
      <w:r w:rsidRPr="0034594B">
        <w:rPr>
          <w:rFonts w:asciiTheme="minorHAnsi" w:hAnsiTheme="minorHAnsi" w:cstheme="minorHAnsi"/>
          <w:b/>
          <w:bCs/>
          <w:i/>
          <w:sz w:val="20"/>
          <w:szCs w:val="20"/>
        </w:rPr>
        <w:t>§4</w:t>
      </w:r>
    </w:p>
    <w:p w14:paraId="6932380A" w14:textId="29FB5EED" w:rsidR="0041172C" w:rsidRDefault="0041172C" w:rsidP="00CD06CF">
      <w:pPr>
        <w:spacing w:line="276" w:lineRule="auto"/>
        <w:jc w:val="center"/>
        <w:rPr>
          <w:rFonts w:asciiTheme="minorHAnsi" w:hAnsiTheme="minorHAnsi" w:cstheme="minorHAnsi"/>
          <w:b/>
          <w:bCs/>
          <w:i/>
          <w:sz w:val="20"/>
          <w:szCs w:val="20"/>
        </w:rPr>
      </w:pPr>
      <w:r w:rsidRPr="0034594B">
        <w:rPr>
          <w:rFonts w:asciiTheme="minorHAnsi" w:hAnsiTheme="minorHAnsi" w:cstheme="minorHAnsi"/>
          <w:b/>
          <w:bCs/>
          <w:i/>
          <w:sz w:val="20"/>
          <w:szCs w:val="20"/>
        </w:rPr>
        <w:t>Ubezpieczenie NNW kierowcy i pasażerów pojazdu</w:t>
      </w:r>
    </w:p>
    <w:p w14:paraId="2B7570C2" w14:textId="77777777" w:rsidR="00D964EB" w:rsidRPr="0034594B" w:rsidRDefault="00D964EB" w:rsidP="00CD06CF">
      <w:pPr>
        <w:spacing w:line="276" w:lineRule="auto"/>
        <w:jc w:val="center"/>
        <w:rPr>
          <w:rFonts w:asciiTheme="minorHAnsi" w:hAnsiTheme="minorHAnsi" w:cstheme="minorHAnsi"/>
          <w:b/>
          <w:bCs/>
          <w:i/>
          <w:sz w:val="20"/>
          <w:szCs w:val="20"/>
        </w:rPr>
      </w:pPr>
    </w:p>
    <w:p w14:paraId="055C949B" w14:textId="77777777" w:rsidR="0041172C" w:rsidRPr="0034594B" w:rsidRDefault="0041172C" w:rsidP="00CD06CF">
      <w:pPr>
        <w:keepNext/>
        <w:numPr>
          <w:ilvl w:val="0"/>
          <w:numId w:val="7"/>
        </w:numPr>
        <w:tabs>
          <w:tab w:val="clear" w:pos="390"/>
        </w:tabs>
        <w:spacing w:after="120" w:line="276" w:lineRule="auto"/>
        <w:ind w:left="284" w:hanging="391"/>
        <w:jc w:val="both"/>
        <w:outlineLvl w:val="1"/>
        <w:rPr>
          <w:rFonts w:asciiTheme="minorHAnsi" w:hAnsiTheme="minorHAnsi" w:cstheme="minorHAnsi"/>
          <w:b/>
          <w:sz w:val="20"/>
          <w:szCs w:val="20"/>
        </w:rPr>
      </w:pPr>
      <w:r w:rsidRPr="0034594B">
        <w:rPr>
          <w:rFonts w:asciiTheme="minorHAnsi" w:hAnsiTheme="minorHAnsi" w:cstheme="minorHAnsi"/>
          <w:b/>
          <w:sz w:val="20"/>
          <w:szCs w:val="20"/>
        </w:rPr>
        <w:t xml:space="preserve">Przedmiot ubezpieczenia: </w:t>
      </w:r>
    </w:p>
    <w:p w14:paraId="47575DD2" w14:textId="1C6FC325" w:rsidR="0041172C" w:rsidRPr="00D964EB" w:rsidRDefault="0041172C" w:rsidP="00D964EB">
      <w:pPr>
        <w:pStyle w:val="Akapitzlist"/>
        <w:keepNext/>
        <w:numPr>
          <w:ilvl w:val="1"/>
          <w:numId w:val="7"/>
        </w:numPr>
        <w:tabs>
          <w:tab w:val="clear" w:pos="1440"/>
        </w:tabs>
        <w:snapToGrid w:val="0"/>
        <w:spacing w:line="276" w:lineRule="auto"/>
        <w:ind w:left="709" w:hanging="425"/>
        <w:jc w:val="both"/>
        <w:outlineLvl w:val="1"/>
        <w:rPr>
          <w:rFonts w:asciiTheme="minorHAnsi" w:hAnsiTheme="minorHAnsi" w:cstheme="minorHAnsi"/>
          <w:sz w:val="20"/>
          <w:szCs w:val="20"/>
        </w:rPr>
      </w:pPr>
      <w:r w:rsidRPr="00D964EB">
        <w:rPr>
          <w:rFonts w:asciiTheme="minorHAnsi" w:hAnsiTheme="minorHAnsi" w:cstheme="minorHAnsi"/>
          <w:sz w:val="20"/>
          <w:szCs w:val="20"/>
        </w:rPr>
        <w:t xml:space="preserve">Ubezpieczenie NNW kierujących pojazdem obejmujące wszystkie </w:t>
      </w:r>
      <w:r w:rsidR="00225FDA" w:rsidRPr="00D964EB">
        <w:rPr>
          <w:rFonts w:asciiTheme="minorHAnsi" w:hAnsiTheme="minorHAnsi" w:cstheme="minorHAnsi"/>
          <w:sz w:val="20"/>
          <w:szCs w:val="20"/>
        </w:rPr>
        <w:t xml:space="preserve">miejsca w pojazdach wskazanych </w:t>
      </w:r>
      <w:r w:rsidRPr="00D964EB">
        <w:rPr>
          <w:rFonts w:asciiTheme="minorHAnsi" w:hAnsiTheme="minorHAnsi" w:cstheme="minorHAnsi"/>
          <w:sz w:val="20"/>
          <w:szCs w:val="20"/>
        </w:rPr>
        <w:t xml:space="preserve">w </w:t>
      </w:r>
      <w:r w:rsidRPr="00D964EB">
        <w:rPr>
          <w:rFonts w:asciiTheme="minorHAnsi" w:hAnsiTheme="minorHAnsi" w:cstheme="minorHAnsi"/>
          <w:b/>
          <w:sz w:val="20"/>
          <w:szCs w:val="20"/>
        </w:rPr>
        <w:t xml:space="preserve">Załączniku nr </w:t>
      </w:r>
      <w:r w:rsidR="00336543" w:rsidRPr="00D964EB">
        <w:rPr>
          <w:rFonts w:asciiTheme="minorHAnsi" w:hAnsiTheme="minorHAnsi" w:cstheme="minorHAnsi"/>
          <w:b/>
          <w:sz w:val="20"/>
          <w:szCs w:val="20"/>
        </w:rPr>
        <w:t>4</w:t>
      </w:r>
      <w:r w:rsidRPr="00D964EB">
        <w:rPr>
          <w:rFonts w:asciiTheme="minorHAnsi" w:hAnsiTheme="minorHAnsi" w:cstheme="minorHAnsi"/>
          <w:b/>
          <w:sz w:val="20"/>
          <w:szCs w:val="20"/>
        </w:rPr>
        <w:t xml:space="preserve"> SWZ</w:t>
      </w:r>
      <w:r w:rsidRPr="00D964EB">
        <w:rPr>
          <w:rFonts w:asciiTheme="minorHAnsi" w:hAnsiTheme="minorHAnsi" w:cstheme="minorHAnsi"/>
          <w:sz w:val="20"/>
          <w:szCs w:val="20"/>
        </w:rPr>
        <w:t>.</w:t>
      </w:r>
    </w:p>
    <w:p w14:paraId="1CECF4D0" w14:textId="77777777" w:rsidR="00CD06CF" w:rsidRPr="0034594B" w:rsidRDefault="00CD06CF" w:rsidP="00CD06CF">
      <w:pPr>
        <w:keepNext/>
        <w:snapToGrid w:val="0"/>
        <w:spacing w:line="276" w:lineRule="auto"/>
        <w:ind w:left="284"/>
        <w:jc w:val="both"/>
        <w:outlineLvl w:val="1"/>
        <w:rPr>
          <w:rFonts w:asciiTheme="minorHAnsi" w:hAnsiTheme="minorHAnsi" w:cstheme="minorHAnsi"/>
          <w:sz w:val="20"/>
          <w:szCs w:val="20"/>
        </w:rPr>
      </w:pPr>
    </w:p>
    <w:p w14:paraId="7DB71ECC" w14:textId="77777777" w:rsidR="0041172C" w:rsidRPr="0034594B" w:rsidRDefault="0041172C" w:rsidP="00CD06CF">
      <w:pPr>
        <w:keepNext/>
        <w:numPr>
          <w:ilvl w:val="0"/>
          <w:numId w:val="7"/>
        </w:numPr>
        <w:tabs>
          <w:tab w:val="clear" w:pos="390"/>
        </w:tabs>
        <w:spacing w:after="120" w:line="276" w:lineRule="auto"/>
        <w:ind w:left="284" w:hanging="391"/>
        <w:jc w:val="both"/>
        <w:outlineLvl w:val="1"/>
        <w:rPr>
          <w:rFonts w:asciiTheme="minorHAnsi" w:hAnsiTheme="minorHAnsi" w:cstheme="minorHAnsi"/>
          <w:b/>
          <w:sz w:val="20"/>
          <w:szCs w:val="20"/>
        </w:rPr>
      </w:pPr>
      <w:r w:rsidRPr="0034594B">
        <w:rPr>
          <w:rFonts w:asciiTheme="minorHAnsi" w:hAnsiTheme="minorHAnsi" w:cstheme="minorHAnsi"/>
          <w:b/>
          <w:sz w:val="20"/>
          <w:szCs w:val="20"/>
        </w:rPr>
        <w:t>Zakres ubezpieczenia:</w:t>
      </w:r>
    </w:p>
    <w:p w14:paraId="37B97B81" w14:textId="1DD78B05" w:rsidR="0041172C" w:rsidRPr="00D964EB" w:rsidRDefault="0041172C" w:rsidP="00D964EB">
      <w:pPr>
        <w:pStyle w:val="Akapitzlist"/>
        <w:numPr>
          <w:ilvl w:val="1"/>
          <w:numId w:val="7"/>
        </w:numPr>
        <w:tabs>
          <w:tab w:val="clear" w:pos="1440"/>
        </w:tabs>
        <w:snapToGrid w:val="0"/>
        <w:spacing w:line="276" w:lineRule="auto"/>
        <w:ind w:left="709" w:hanging="425"/>
        <w:jc w:val="both"/>
        <w:rPr>
          <w:rFonts w:asciiTheme="minorHAnsi" w:hAnsiTheme="minorHAnsi" w:cstheme="minorHAnsi"/>
          <w:sz w:val="20"/>
          <w:szCs w:val="20"/>
        </w:rPr>
      </w:pPr>
      <w:r w:rsidRPr="00D964EB">
        <w:rPr>
          <w:rFonts w:asciiTheme="minorHAnsi" w:hAnsiTheme="minorHAnsi" w:cstheme="minorHAnsi"/>
          <w:sz w:val="20"/>
          <w:szCs w:val="20"/>
        </w:rPr>
        <w:t>Następstwa nieszczęśliwych wypadków kierowców i pasażerów (śmierć na skutek wypadku, uszkodzenia ciała i rozstrój zdrowia) związane z ruchem tych pojazdów.</w:t>
      </w:r>
    </w:p>
    <w:p w14:paraId="7CC83F52" w14:textId="77777777" w:rsidR="00CD06CF" w:rsidRPr="0034594B" w:rsidRDefault="00CD06CF" w:rsidP="00CD06CF">
      <w:pPr>
        <w:snapToGrid w:val="0"/>
        <w:spacing w:line="276" w:lineRule="auto"/>
        <w:ind w:left="284"/>
        <w:jc w:val="both"/>
        <w:rPr>
          <w:rFonts w:asciiTheme="minorHAnsi" w:hAnsiTheme="minorHAnsi" w:cstheme="minorHAnsi"/>
          <w:sz w:val="20"/>
          <w:szCs w:val="20"/>
        </w:rPr>
      </w:pPr>
    </w:p>
    <w:p w14:paraId="07515C94" w14:textId="77777777" w:rsidR="00D964EB" w:rsidRDefault="0041172C" w:rsidP="00CD06CF">
      <w:pPr>
        <w:keepNext/>
        <w:numPr>
          <w:ilvl w:val="0"/>
          <w:numId w:val="7"/>
        </w:numPr>
        <w:tabs>
          <w:tab w:val="clear" w:pos="390"/>
        </w:tabs>
        <w:snapToGrid w:val="0"/>
        <w:spacing w:after="120" w:line="276" w:lineRule="auto"/>
        <w:ind w:left="284"/>
        <w:jc w:val="both"/>
        <w:outlineLvl w:val="1"/>
        <w:rPr>
          <w:rFonts w:asciiTheme="minorHAnsi" w:hAnsiTheme="minorHAnsi" w:cstheme="minorHAnsi"/>
          <w:b/>
          <w:sz w:val="20"/>
          <w:szCs w:val="20"/>
        </w:rPr>
      </w:pPr>
      <w:r w:rsidRPr="0034594B">
        <w:rPr>
          <w:rFonts w:asciiTheme="minorHAnsi" w:hAnsiTheme="minorHAnsi" w:cstheme="minorHAnsi"/>
          <w:b/>
          <w:sz w:val="20"/>
          <w:szCs w:val="20"/>
        </w:rPr>
        <w:t xml:space="preserve">Suma ubezpieczenia: </w:t>
      </w:r>
    </w:p>
    <w:p w14:paraId="2E6E3E7C" w14:textId="4FBCD701" w:rsidR="0041172C" w:rsidRPr="00D964EB" w:rsidRDefault="00D964EB" w:rsidP="00D964EB">
      <w:pPr>
        <w:pStyle w:val="Akapitzlist"/>
        <w:keepNext/>
        <w:numPr>
          <w:ilvl w:val="1"/>
          <w:numId w:val="7"/>
        </w:numPr>
        <w:tabs>
          <w:tab w:val="clear" w:pos="1440"/>
        </w:tabs>
        <w:snapToGrid w:val="0"/>
        <w:spacing w:line="276" w:lineRule="auto"/>
        <w:ind w:left="709" w:hanging="425"/>
        <w:contextualSpacing w:val="0"/>
        <w:jc w:val="both"/>
        <w:outlineLvl w:val="1"/>
        <w:rPr>
          <w:rFonts w:asciiTheme="minorHAnsi" w:hAnsiTheme="minorHAnsi" w:cstheme="minorHAnsi"/>
          <w:b/>
          <w:sz w:val="20"/>
          <w:szCs w:val="20"/>
        </w:rPr>
      </w:pPr>
      <w:r>
        <w:rPr>
          <w:rFonts w:asciiTheme="minorHAnsi" w:hAnsiTheme="minorHAnsi" w:cstheme="minorHAnsi"/>
          <w:sz w:val="20"/>
          <w:szCs w:val="20"/>
        </w:rPr>
        <w:t>K</w:t>
      </w:r>
      <w:r w:rsidR="0041172C" w:rsidRPr="00D964EB">
        <w:rPr>
          <w:rFonts w:asciiTheme="minorHAnsi" w:hAnsiTheme="minorHAnsi" w:cstheme="minorHAnsi"/>
          <w:sz w:val="20"/>
          <w:szCs w:val="20"/>
        </w:rPr>
        <w:t>ażde miejsce w pojeździe</w:t>
      </w:r>
      <w:r>
        <w:rPr>
          <w:rFonts w:asciiTheme="minorHAnsi" w:hAnsiTheme="minorHAnsi" w:cstheme="minorHAnsi"/>
          <w:sz w:val="20"/>
          <w:szCs w:val="20"/>
        </w:rPr>
        <w:t xml:space="preserve">: </w:t>
      </w:r>
      <w:r w:rsidRPr="00D964EB">
        <w:rPr>
          <w:rFonts w:asciiTheme="minorHAnsi" w:hAnsiTheme="minorHAnsi" w:cstheme="minorHAnsi"/>
          <w:b/>
          <w:bCs/>
          <w:sz w:val="20"/>
          <w:szCs w:val="20"/>
        </w:rPr>
        <w:t>15.000,00 PLN</w:t>
      </w:r>
    </w:p>
    <w:p w14:paraId="1A91326F" w14:textId="77777777" w:rsidR="00D964EB" w:rsidRPr="00D964EB" w:rsidRDefault="00D964EB" w:rsidP="00D964EB">
      <w:pPr>
        <w:pStyle w:val="Akapitzlist"/>
        <w:keepNext/>
        <w:snapToGrid w:val="0"/>
        <w:spacing w:line="276" w:lineRule="auto"/>
        <w:ind w:left="709"/>
        <w:contextualSpacing w:val="0"/>
        <w:jc w:val="both"/>
        <w:outlineLvl w:val="1"/>
        <w:rPr>
          <w:rFonts w:asciiTheme="minorHAnsi" w:hAnsiTheme="minorHAnsi" w:cstheme="minorHAnsi"/>
          <w:b/>
          <w:sz w:val="20"/>
          <w:szCs w:val="20"/>
        </w:rPr>
      </w:pPr>
    </w:p>
    <w:p w14:paraId="565FD710" w14:textId="77777777" w:rsidR="0041172C" w:rsidRPr="0034594B" w:rsidRDefault="0041172C" w:rsidP="00CD06CF">
      <w:pPr>
        <w:keepNext/>
        <w:numPr>
          <w:ilvl w:val="0"/>
          <w:numId w:val="7"/>
        </w:numPr>
        <w:tabs>
          <w:tab w:val="clear" w:pos="390"/>
        </w:tabs>
        <w:snapToGrid w:val="0"/>
        <w:spacing w:after="120" w:line="276" w:lineRule="auto"/>
        <w:ind w:left="284" w:hanging="391"/>
        <w:jc w:val="both"/>
        <w:outlineLvl w:val="1"/>
        <w:rPr>
          <w:rFonts w:asciiTheme="minorHAnsi" w:hAnsiTheme="minorHAnsi" w:cstheme="minorHAnsi"/>
          <w:b/>
          <w:sz w:val="20"/>
          <w:szCs w:val="20"/>
        </w:rPr>
      </w:pPr>
      <w:r w:rsidRPr="0034594B">
        <w:rPr>
          <w:rFonts w:asciiTheme="minorHAnsi" w:hAnsiTheme="minorHAnsi" w:cstheme="minorHAnsi"/>
          <w:b/>
          <w:sz w:val="20"/>
          <w:szCs w:val="20"/>
        </w:rPr>
        <w:t>Składka ubezpieczeniowa</w:t>
      </w:r>
      <w:r w:rsidRPr="0034594B">
        <w:rPr>
          <w:rFonts w:asciiTheme="minorHAnsi" w:hAnsiTheme="minorHAnsi" w:cstheme="minorHAnsi"/>
          <w:sz w:val="20"/>
          <w:szCs w:val="20"/>
        </w:rPr>
        <w:t xml:space="preserve">: </w:t>
      </w:r>
    </w:p>
    <w:p w14:paraId="66E0DA0A" w14:textId="1F678387" w:rsidR="00295BFC" w:rsidRDefault="0041172C" w:rsidP="00D964EB">
      <w:pPr>
        <w:pStyle w:val="Akapitzlist"/>
        <w:keepNext/>
        <w:numPr>
          <w:ilvl w:val="1"/>
          <w:numId w:val="7"/>
        </w:numPr>
        <w:tabs>
          <w:tab w:val="clear" w:pos="1440"/>
        </w:tabs>
        <w:snapToGrid w:val="0"/>
        <w:spacing w:after="120" w:line="276" w:lineRule="auto"/>
        <w:ind w:left="709" w:hanging="425"/>
        <w:jc w:val="both"/>
        <w:outlineLvl w:val="1"/>
        <w:rPr>
          <w:rFonts w:asciiTheme="minorHAnsi" w:hAnsiTheme="minorHAnsi" w:cstheme="minorHAnsi"/>
          <w:sz w:val="20"/>
          <w:szCs w:val="20"/>
        </w:rPr>
      </w:pPr>
      <w:r w:rsidRPr="00D964EB">
        <w:rPr>
          <w:rFonts w:asciiTheme="minorHAnsi" w:hAnsiTheme="minorHAnsi" w:cstheme="minorHAnsi"/>
          <w:sz w:val="20"/>
          <w:szCs w:val="20"/>
        </w:rPr>
        <w:t>Wykonawca zobowiązany jest podać składkę ryczałtowo w odniesieniu do poszczególnego pojazdu.</w:t>
      </w:r>
    </w:p>
    <w:p w14:paraId="612D9C12" w14:textId="77777777" w:rsidR="00D964EB" w:rsidRPr="00D964EB" w:rsidRDefault="00D964EB" w:rsidP="00D964EB">
      <w:pPr>
        <w:pStyle w:val="Akapitzlist"/>
        <w:keepNext/>
        <w:snapToGrid w:val="0"/>
        <w:spacing w:after="120" w:line="276" w:lineRule="auto"/>
        <w:ind w:left="709"/>
        <w:jc w:val="both"/>
        <w:outlineLvl w:val="1"/>
        <w:rPr>
          <w:rFonts w:asciiTheme="minorHAnsi" w:hAnsiTheme="minorHAnsi" w:cstheme="minorHAnsi"/>
          <w:sz w:val="20"/>
          <w:szCs w:val="20"/>
        </w:rPr>
      </w:pPr>
    </w:p>
    <w:p w14:paraId="1E2B1464" w14:textId="77777777" w:rsidR="00D964EB" w:rsidRDefault="00295BFC" w:rsidP="00CD06CF">
      <w:pPr>
        <w:pStyle w:val="Akapitzlist"/>
        <w:keepNext/>
        <w:numPr>
          <w:ilvl w:val="0"/>
          <w:numId w:val="7"/>
        </w:numPr>
        <w:tabs>
          <w:tab w:val="clear" w:pos="390"/>
        </w:tabs>
        <w:snapToGrid w:val="0"/>
        <w:spacing w:after="120" w:line="276" w:lineRule="auto"/>
        <w:ind w:left="284" w:hanging="391"/>
        <w:contextualSpacing w:val="0"/>
        <w:jc w:val="both"/>
        <w:outlineLvl w:val="1"/>
        <w:rPr>
          <w:rFonts w:asciiTheme="minorHAnsi" w:hAnsiTheme="minorHAnsi" w:cstheme="minorHAnsi"/>
          <w:b/>
          <w:sz w:val="20"/>
          <w:szCs w:val="20"/>
        </w:rPr>
      </w:pPr>
      <w:r w:rsidRPr="0034594B">
        <w:rPr>
          <w:rFonts w:asciiTheme="minorHAnsi" w:hAnsiTheme="minorHAnsi" w:cstheme="minorHAnsi"/>
          <w:b/>
          <w:sz w:val="20"/>
          <w:szCs w:val="20"/>
        </w:rPr>
        <w:t>Zakres terytorialny</w:t>
      </w:r>
      <w:r w:rsidR="00CD06CF">
        <w:rPr>
          <w:rFonts w:asciiTheme="minorHAnsi" w:hAnsiTheme="minorHAnsi" w:cstheme="minorHAnsi"/>
          <w:b/>
          <w:sz w:val="20"/>
          <w:szCs w:val="20"/>
        </w:rPr>
        <w:t xml:space="preserve">: </w:t>
      </w:r>
    </w:p>
    <w:p w14:paraId="0CE87A4C" w14:textId="0E11901C" w:rsidR="00295BFC" w:rsidRPr="00CD06CF" w:rsidRDefault="00295BFC" w:rsidP="00342203">
      <w:pPr>
        <w:pStyle w:val="Akapitzlist"/>
        <w:keepNext/>
        <w:numPr>
          <w:ilvl w:val="1"/>
          <w:numId w:val="7"/>
        </w:numPr>
        <w:tabs>
          <w:tab w:val="clear" w:pos="1440"/>
        </w:tabs>
        <w:snapToGrid w:val="0"/>
        <w:spacing w:line="276" w:lineRule="auto"/>
        <w:ind w:left="709" w:hanging="425"/>
        <w:contextualSpacing w:val="0"/>
        <w:jc w:val="both"/>
        <w:outlineLvl w:val="1"/>
        <w:rPr>
          <w:rFonts w:asciiTheme="minorHAnsi" w:hAnsiTheme="minorHAnsi" w:cstheme="minorHAnsi"/>
          <w:b/>
          <w:sz w:val="20"/>
          <w:szCs w:val="20"/>
        </w:rPr>
      </w:pPr>
      <w:r w:rsidRPr="00CD06CF">
        <w:rPr>
          <w:rFonts w:asciiTheme="minorHAnsi" w:hAnsiTheme="minorHAnsi" w:cstheme="minorHAnsi"/>
          <w:sz w:val="20"/>
          <w:szCs w:val="20"/>
        </w:rPr>
        <w:t>Europa (UE)</w:t>
      </w:r>
    </w:p>
    <w:p w14:paraId="075195FF" w14:textId="5FF400FF" w:rsidR="00342203" w:rsidRDefault="00342203" w:rsidP="00342203">
      <w:pPr>
        <w:snapToGrid w:val="0"/>
        <w:spacing w:line="276" w:lineRule="auto"/>
        <w:jc w:val="center"/>
        <w:rPr>
          <w:rFonts w:asciiTheme="minorHAnsi" w:hAnsiTheme="minorHAnsi" w:cstheme="minorHAnsi"/>
          <w:b/>
          <w:bCs/>
          <w:i/>
          <w:sz w:val="20"/>
          <w:szCs w:val="20"/>
        </w:rPr>
      </w:pPr>
    </w:p>
    <w:p w14:paraId="2ED71AAB" w14:textId="77777777" w:rsidR="00342203" w:rsidRPr="0034594B" w:rsidRDefault="00342203" w:rsidP="00342203">
      <w:pPr>
        <w:snapToGrid w:val="0"/>
        <w:spacing w:line="276" w:lineRule="auto"/>
        <w:jc w:val="center"/>
        <w:rPr>
          <w:rFonts w:asciiTheme="minorHAnsi" w:hAnsiTheme="minorHAnsi" w:cstheme="minorHAnsi"/>
          <w:b/>
          <w:bCs/>
          <w:i/>
          <w:sz w:val="20"/>
          <w:szCs w:val="20"/>
        </w:rPr>
      </w:pPr>
    </w:p>
    <w:p w14:paraId="57D2AB55" w14:textId="3A66EC00" w:rsidR="0041172C" w:rsidRPr="0034594B" w:rsidRDefault="0041172C" w:rsidP="00CD06CF">
      <w:pPr>
        <w:spacing w:line="276" w:lineRule="auto"/>
        <w:jc w:val="center"/>
        <w:rPr>
          <w:rFonts w:asciiTheme="minorHAnsi" w:hAnsiTheme="minorHAnsi" w:cstheme="minorHAnsi"/>
          <w:b/>
          <w:bCs/>
          <w:i/>
          <w:sz w:val="20"/>
          <w:szCs w:val="20"/>
        </w:rPr>
      </w:pPr>
      <w:r w:rsidRPr="0034594B">
        <w:rPr>
          <w:rFonts w:asciiTheme="minorHAnsi" w:hAnsiTheme="minorHAnsi" w:cstheme="minorHAnsi"/>
          <w:b/>
          <w:bCs/>
          <w:i/>
          <w:sz w:val="20"/>
          <w:szCs w:val="20"/>
        </w:rPr>
        <w:t>§5</w:t>
      </w:r>
    </w:p>
    <w:p w14:paraId="4803BC29" w14:textId="77777777" w:rsidR="0041172C" w:rsidRPr="0034594B" w:rsidRDefault="0041172C" w:rsidP="00CD06CF">
      <w:pPr>
        <w:spacing w:line="276" w:lineRule="auto"/>
        <w:jc w:val="center"/>
        <w:rPr>
          <w:rFonts w:asciiTheme="minorHAnsi" w:hAnsiTheme="minorHAnsi" w:cstheme="minorHAnsi"/>
          <w:b/>
          <w:bCs/>
          <w:i/>
          <w:sz w:val="20"/>
          <w:szCs w:val="20"/>
        </w:rPr>
      </w:pPr>
      <w:r w:rsidRPr="0034594B">
        <w:rPr>
          <w:rFonts w:asciiTheme="minorHAnsi" w:hAnsiTheme="minorHAnsi" w:cstheme="minorHAnsi"/>
          <w:b/>
          <w:bCs/>
          <w:i/>
          <w:sz w:val="20"/>
          <w:szCs w:val="20"/>
        </w:rPr>
        <w:t>Ubezpieczenie Assistance</w:t>
      </w:r>
    </w:p>
    <w:p w14:paraId="52565A65" w14:textId="77777777" w:rsidR="0041172C" w:rsidRPr="0034594B" w:rsidRDefault="0041172C" w:rsidP="00CD06CF">
      <w:pPr>
        <w:spacing w:line="276" w:lineRule="auto"/>
        <w:jc w:val="both"/>
        <w:outlineLvl w:val="1"/>
        <w:rPr>
          <w:rFonts w:asciiTheme="minorHAnsi" w:hAnsiTheme="minorHAnsi" w:cstheme="minorHAnsi"/>
          <w:sz w:val="20"/>
          <w:szCs w:val="20"/>
        </w:rPr>
      </w:pPr>
    </w:p>
    <w:p w14:paraId="55D6A4F0" w14:textId="77777777" w:rsidR="0041172C" w:rsidRPr="0034594B" w:rsidRDefault="0041172C" w:rsidP="00CD06CF">
      <w:pPr>
        <w:numPr>
          <w:ilvl w:val="0"/>
          <w:numId w:val="7"/>
        </w:numPr>
        <w:spacing w:after="120" w:line="276" w:lineRule="auto"/>
        <w:ind w:left="283" w:hanging="391"/>
        <w:jc w:val="both"/>
        <w:outlineLvl w:val="1"/>
        <w:rPr>
          <w:rFonts w:asciiTheme="minorHAnsi" w:hAnsiTheme="minorHAnsi" w:cstheme="minorHAnsi"/>
          <w:b/>
          <w:sz w:val="20"/>
          <w:szCs w:val="20"/>
        </w:rPr>
      </w:pPr>
      <w:r w:rsidRPr="0034594B">
        <w:rPr>
          <w:rFonts w:asciiTheme="minorHAnsi" w:hAnsiTheme="minorHAnsi" w:cstheme="minorHAnsi"/>
          <w:b/>
          <w:sz w:val="20"/>
          <w:szCs w:val="20"/>
        </w:rPr>
        <w:t xml:space="preserve">Przedmiot ubezpieczenia: </w:t>
      </w:r>
    </w:p>
    <w:p w14:paraId="76810BA6" w14:textId="6B2F9DD4" w:rsidR="0041172C" w:rsidRPr="00D964EB" w:rsidRDefault="0041172C" w:rsidP="00D964EB">
      <w:pPr>
        <w:pStyle w:val="Akapitzlist"/>
        <w:numPr>
          <w:ilvl w:val="1"/>
          <w:numId w:val="7"/>
        </w:numPr>
        <w:tabs>
          <w:tab w:val="clear" w:pos="1440"/>
        </w:tabs>
        <w:spacing w:after="240" w:line="276" w:lineRule="auto"/>
        <w:ind w:left="709" w:hanging="425"/>
        <w:jc w:val="both"/>
        <w:rPr>
          <w:rFonts w:asciiTheme="minorHAnsi" w:hAnsiTheme="minorHAnsi" w:cstheme="minorHAnsi"/>
          <w:sz w:val="20"/>
          <w:szCs w:val="20"/>
        </w:rPr>
      </w:pPr>
      <w:r w:rsidRPr="00D964EB">
        <w:rPr>
          <w:rFonts w:asciiTheme="minorHAnsi" w:hAnsiTheme="minorHAnsi" w:cstheme="minorHAnsi"/>
          <w:sz w:val="20"/>
          <w:szCs w:val="20"/>
        </w:rPr>
        <w:t xml:space="preserve">Organizacja i pokrycie kosztów pomocy technicznej udzielonej osobom podróżującym pojazdem wskutek: uszkodzenia pojazdu, kradzieży części składowych, dewastacji, awarii technicznej pojazdu. Dotyczy wyłącznie pojazdów </w:t>
      </w:r>
      <w:r w:rsidR="00281582" w:rsidRPr="00D964EB">
        <w:rPr>
          <w:rFonts w:asciiTheme="minorHAnsi" w:hAnsiTheme="minorHAnsi" w:cstheme="minorHAnsi"/>
          <w:sz w:val="20"/>
          <w:szCs w:val="20"/>
        </w:rPr>
        <w:t xml:space="preserve">osobowych oraz ciężarowych o dopuszczalnej masie całkowitej do 3,5 tony, </w:t>
      </w:r>
      <w:r w:rsidRPr="00D964EB">
        <w:rPr>
          <w:rFonts w:asciiTheme="minorHAnsi" w:hAnsiTheme="minorHAnsi" w:cstheme="minorHAnsi"/>
          <w:sz w:val="20"/>
          <w:szCs w:val="20"/>
        </w:rPr>
        <w:t xml:space="preserve">objętych ubezpieczeniem </w:t>
      </w:r>
      <w:proofErr w:type="spellStart"/>
      <w:r w:rsidRPr="00D964EB">
        <w:rPr>
          <w:rFonts w:asciiTheme="minorHAnsi" w:hAnsiTheme="minorHAnsi" w:cstheme="minorHAnsi"/>
          <w:sz w:val="20"/>
          <w:szCs w:val="20"/>
        </w:rPr>
        <w:t>AutoCasco</w:t>
      </w:r>
      <w:proofErr w:type="spellEnd"/>
      <w:r w:rsidR="00281582" w:rsidRPr="00D964EB">
        <w:rPr>
          <w:rFonts w:asciiTheme="minorHAnsi" w:hAnsiTheme="minorHAnsi" w:cstheme="minorHAnsi"/>
          <w:sz w:val="20"/>
          <w:szCs w:val="20"/>
        </w:rPr>
        <w:t>, a w przypadku Assistance podstawowego/ minimalnego (</w:t>
      </w:r>
      <w:proofErr w:type="spellStart"/>
      <w:r w:rsidR="00281582" w:rsidRPr="00D964EB">
        <w:rPr>
          <w:rFonts w:asciiTheme="minorHAnsi" w:hAnsiTheme="minorHAnsi" w:cstheme="minorHAnsi"/>
          <w:sz w:val="20"/>
          <w:szCs w:val="20"/>
        </w:rPr>
        <w:t>bezskładkowego</w:t>
      </w:r>
      <w:proofErr w:type="spellEnd"/>
      <w:r w:rsidR="00281582" w:rsidRPr="00D964EB">
        <w:rPr>
          <w:rFonts w:asciiTheme="minorHAnsi" w:hAnsiTheme="minorHAnsi" w:cstheme="minorHAnsi"/>
          <w:sz w:val="20"/>
          <w:szCs w:val="20"/>
        </w:rPr>
        <w:t>), również wyżej wskazane pojazdy</w:t>
      </w:r>
      <w:r w:rsidR="005C1913" w:rsidRPr="00D964EB">
        <w:rPr>
          <w:rFonts w:asciiTheme="minorHAnsi" w:hAnsiTheme="minorHAnsi" w:cstheme="minorHAnsi"/>
          <w:sz w:val="20"/>
          <w:szCs w:val="20"/>
        </w:rPr>
        <w:t xml:space="preserve">, które nie są </w:t>
      </w:r>
      <w:r w:rsidR="00281582" w:rsidRPr="00D964EB">
        <w:rPr>
          <w:rFonts w:asciiTheme="minorHAnsi" w:hAnsiTheme="minorHAnsi" w:cstheme="minorHAnsi"/>
          <w:sz w:val="20"/>
          <w:szCs w:val="20"/>
        </w:rPr>
        <w:t xml:space="preserve">objęte ubezpieczeniem </w:t>
      </w:r>
      <w:proofErr w:type="spellStart"/>
      <w:r w:rsidR="00281582" w:rsidRPr="00D964EB">
        <w:rPr>
          <w:rFonts w:asciiTheme="minorHAnsi" w:hAnsiTheme="minorHAnsi" w:cstheme="minorHAnsi"/>
          <w:sz w:val="20"/>
          <w:szCs w:val="20"/>
        </w:rPr>
        <w:t>AutoCasco</w:t>
      </w:r>
      <w:proofErr w:type="spellEnd"/>
      <w:r w:rsidR="00281582" w:rsidRPr="00D964EB">
        <w:rPr>
          <w:rFonts w:asciiTheme="minorHAnsi" w:hAnsiTheme="minorHAnsi" w:cstheme="minorHAnsi"/>
          <w:sz w:val="20"/>
          <w:szCs w:val="20"/>
        </w:rPr>
        <w:t>.</w:t>
      </w:r>
    </w:p>
    <w:p w14:paraId="4FA8CA4D" w14:textId="77777777" w:rsidR="0041172C" w:rsidRPr="0034594B" w:rsidRDefault="0041172C" w:rsidP="00D964EB">
      <w:pPr>
        <w:numPr>
          <w:ilvl w:val="0"/>
          <w:numId w:val="7"/>
        </w:numPr>
        <w:spacing w:after="120" w:line="276" w:lineRule="auto"/>
        <w:ind w:left="283" w:hanging="391"/>
        <w:jc w:val="both"/>
        <w:outlineLvl w:val="1"/>
        <w:rPr>
          <w:rFonts w:asciiTheme="minorHAnsi" w:hAnsiTheme="minorHAnsi" w:cstheme="minorHAnsi"/>
          <w:b/>
          <w:sz w:val="20"/>
          <w:szCs w:val="20"/>
        </w:rPr>
      </w:pPr>
      <w:r w:rsidRPr="0034594B">
        <w:rPr>
          <w:rFonts w:asciiTheme="minorHAnsi" w:hAnsiTheme="minorHAnsi" w:cstheme="minorHAnsi"/>
          <w:b/>
          <w:sz w:val="20"/>
          <w:szCs w:val="20"/>
        </w:rPr>
        <w:t xml:space="preserve">Zakres ochrony </w:t>
      </w:r>
    </w:p>
    <w:p w14:paraId="1D8E4860" w14:textId="77777777" w:rsidR="00D964EB" w:rsidRDefault="0041172C" w:rsidP="00D964EB">
      <w:pPr>
        <w:pStyle w:val="Akapitzlist"/>
        <w:numPr>
          <w:ilvl w:val="1"/>
          <w:numId w:val="7"/>
        </w:numPr>
        <w:tabs>
          <w:tab w:val="clear" w:pos="1440"/>
        </w:tabs>
        <w:snapToGrid w:val="0"/>
        <w:spacing w:after="120" w:line="276" w:lineRule="auto"/>
        <w:ind w:left="709" w:hanging="425"/>
        <w:contextualSpacing w:val="0"/>
        <w:jc w:val="both"/>
        <w:outlineLvl w:val="1"/>
        <w:rPr>
          <w:rFonts w:asciiTheme="minorHAnsi" w:hAnsiTheme="minorHAnsi" w:cstheme="minorHAnsi"/>
          <w:sz w:val="20"/>
          <w:szCs w:val="20"/>
        </w:rPr>
      </w:pPr>
      <w:r w:rsidRPr="00D964EB">
        <w:rPr>
          <w:rFonts w:asciiTheme="minorHAnsi" w:hAnsiTheme="minorHAnsi" w:cstheme="minorHAnsi"/>
          <w:sz w:val="20"/>
          <w:szCs w:val="20"/>
        </w:rPr>
        <w:t>Podstawowy</w:t>
      </w:r>
      <w:r w:rsidR="006800E5" w:rsidRPr="00D964EB">
        <w:rPr>
          <w:rFonts w:asciiTheme="minorHAnsi" w:hAnsiTheme="minorHAnsi" w:cstheme="minorHAnsi"/>
          <w:sz w:val="20"/>
          <w:szCs w:val="20"/>
        </w:rPr>
        <w:t xml:space="preserve"> lub minimalny (</w:t>
      </w:r>
      <w:proofErr w:type="spellStart"/>
      <w:r w:rsidR="006800E5" w:rsidRPr="00D964EB">
        <w:rPr>
          <w:rFonts w:asciiTheme="minorHAnsi" w:hAnsiTheme="minorHAnsi" w:cstheme="minorHAnsi"/>
          <w:sz w:val="20"/>
          <w:szCs w:val="20"/>
        </w:rPr>
        <w:t>bezskładkowy</w:t>
      </w:r>
      <w:proofErr w:type="spellEnd"/>
      <w:r w:rsidR="006800E5" w:rsidRPr="00D964EB">
        <w:rPr>
          <w:rFonts w:asciiTheme="minorHAnsi" w:hAnsiTheme="minorHAnsi" w:cstheme="minorHAnsi"/>
          <w:sz w:val="20"/>
          <w:szCs w:val="20"/>
        </w:rPr>
        <w:t>)</w:t>
      </w:r>
      <w:r w:rsidRPr="00D964EB">
        <w:rPr>
          <w:rFonts w:asciiTheme="minorHAnsi" w:hAnsiTheme="minorHAnsi" w:cstheme="minorHAnsi"/>
          <w:sz w:val="20"/>
          <w:szCs w:val="20"/>
        </w:rPr>
        <w:t xml:space="preserve">, </w:t>
      </w:r>
      <w:proofErr w:type="gramStart"/>
      <w:r w:rsidRPr="00D964EB">
        <w:rPr>
          <w:rFonts w:asciiTheme="minorHAnsi" w:hAnsiTheme="minorHAnsi" w:cstheme="minorHAnsi"/>
          <w:sz w:val="20"/>
          <w:szCs w:val="20"/>
        </w:rPr>
        <w:t>za wyjątkiem</w:t>
      </w:r>
      <w:proofErr w:type="gramEnd"/>
      <w:r w:rsidRPr="00D964EB">
        <w:rPr>
          <w:rFonts w:asciiTheme="minorHAnsi" w:hAnsiTheme="minorHAnsi" w:cstheme="minorHAnsi"/>
          <w:sz w:val="20"/>
          <w:szCs w:val="20"/>
        </w:rPr>
        <w:t xml:space="preserve"> pojazdów wskazanych w </w:t>
      </w:r>
      <w:r w:rsidRPr="00D964EB">
        <w:rPr>
          <w:rFonts w:asciiTheme="minorHAnsi" w:hAnsiTheme="minorHAnsi" w:cstheme="minorHAnsi"/>
          <w:b/>
          <w:sz w:val="20"/>
          <w:szCs w:val="20"/>
        </w:rPr>
        <w:t xml:space="preserve">Załączniku numer </w:t>
      </w:r>
      <w:r w:rsidR="00336543" w:rsidRPr="00D964EB">
        <w:rPr>
          <w:rFonts w:asciiTheme="minorHAnsi" w:hAnsiTheme="minorHAnsi" w:cstheme="minorHAnsi"/>
          <w:b/>
          <w:sz w:val="20"/>
          <w:szCs w:val="20"/>
        </w:rPr>
        <w:t>4</w:t>
      </w:r>
      <w:r w:rsidRPr="00D964EB">
        <w:rPr>
          <w:rFonts w:asciiTheme="minorHAnsi" w:hAnsiTheme="minorHAnsi" w:cstheme="minorHAnsi"/>
          <w:b/>
          <w:sz w:val="20"/>
          <w:szCs w:val="20"/>
        </w:rPr>
        <w:t xml:space="preserve"> SWZ</w:t>
      </w:r>
      <w:r w:rsidRPr="00D964EB">
        <w:rPr>
          <w:rFonts w:asciiTheme="minorHAnsi" w:hAnsiTheme="minorHAnsi" w:cstheme="minorHAnsi"/>
          <w:sz w:val="20"/>
          <w:szCs w:val="20"/>
        </w:rPr>
        <w:t>,</w:t>
      </w:r>
      <w:r w:rsidRPr="00D964EB" w:rsidDel="00CE2E6B">
        <w:rPr>
          <w:rFonts w:asciiTheme="minorHAnsi" w:hAnsiTheme="minorHAnsi" w:cstheme="minorHAnsi"/>
          <w:sz w:val="20"/>
          <w:szCs w:val="20"/>
        </w:rPr>
        <w:t xml:space="preserve"> </w:t>
      </w:r>
      <w:r w:rsidRPr="00D964EB">
        <w:rPr>
          <w:rFonts w:asciiTheme="minorHAnsi" w:hAnsiTheme="minorHAnsi" w:cstheme="minorHAnsi"/>
          <w:sz w:val="20"/>
          <w:szCs w:val="20"/>
        </w:rPr>
        <w:t xml:space="preserve">dla których wymagany </w:t>
      </w:r>
      <w:r w:rsidR="00351A83" w:rsidRPr="00D964EB">
        <w:rPr>
          <w:rFonts w:asciiTheme="minorHAnsi" w:hAnsiTheme="minorHAnsi" w:cstheme="minorHAnsi"/>
          <w:sz w:val="20"/>
          <w:szCs w:val="20"/>
        </w:rPr>
        <w:t xml:space="preserve">jest </w:t>
      </w:r>
      <w:r w:rsidRPr="00D964EB">
        <w:rPr>
          <w:rFonts w:asciiTheme="minorHAnsi" w:hAnsiTheme="minorHAnsi" w:cstheme="minorHAnsi"/>
          <w:sz w:val="20"/>
          <w:szCs w:val="20"/>
        </w:rPr>
        <w:t>zakres rozszerzony.</w:t>
      </w:r>
      <w:r w:rsidR="00B8403A" w:rsidRPr="00D964EB">
        <w:rPr>
          <w:rFonts w:asciiTheme="minorHAnsi" w:hAnsiTheme="minorHAnsi" w:cstheme="minorHAnsi"/>
          <w:sz w:val="20"/>
          <w:szCs w:val="20"/>
        </w:rPr>
        <w:t xml:space="preserve"> </w:t>
      </w:r>
      <w:r w:rsidR="00FE45D3" w:rsidRPr="00D964EB">
        <w:rPr>
          <w:rFonts w:asciiTheme="minorHAnsi" w:hAnsiTheme="minorHAnsi" w:cstheme="minorHAnsi"/>
          <w:sz w:val="20"/>
          <w:szCs w:val="20"/>
        </w:rPr>
        <w:t xml:space="preserve">Minimalny zakres </w:t>
      </w:r>
      <w:r w:rsidR="00A85CC9" w:rsidRPr="00D964EB">
        <w:rPr>
          <w:rFonts w:asciiTheme="minorHAnsi" w:hAnsiTheme="minorHAnsi" w:cstheme="minorHAnsi"/>
          <w:sz w:val="20"/>
          <w:szCs w:val="20"/>
        </w:rPr>
        <w:t xml:space="preserve">ochrony </w:t>
      </w:r>
      <w:r w:rsidR="003B76DC" w:rsidRPr="00D964EB">
        <w:rPr>
          <w:rFonts w:asciiTheme="minorHAnsi" w:hAnsiTheme="minorHAnsi" w:cstheme="minorHAnsi"/>
          <w:sz w:val="20"/>
          <w:szCs w:val="20"/>
        </w:rPr>
        <w:t xml:space="preserve">wariantu rozszerzonego </w:t>
      </w:r>
      <w:r w:rsidR="00A85CC9" w:rsidRPr="00D964EB">
        <w:rPr>
          <w:rFonts w:asciiTheme="minorHAnsi" w:hAnsiTheme="minorHAnsi" w:cstheme="minorHAnsi"/>
          <w:sz w:val="20"/>
          <w:szCs w:val="20"/>
        </w:rPr>
        <w:t xml:space="preserve">Assistance obejmuje: </w:t>
      </w:r>
    </w:p>
    <w:p w14:paraId="0B591CA3" w14:textId="77777777" w:rsidR="00D964EB" w:rsidRDefault="00A85CC9" w:rsidP="00D964EB">
      <w:pPr>
        <w:pStyle w:val="Akapitzlist"/>
        <w:numPr>
          <w:ilvl w:val="2"/>
          <w:numId w:val="7"/>
        </w:numPr>
        <w:tabs>
          <w:tab w:val="clear" w:pos="2160"/>
        </w:tabs>
        <w:snapToGrid w:val="0"/>
        <w:spacing w:after="120" w:line="276" w:lineRule="auto"/>
        <w:ind w:left="1276" w:hanging="567"/>
        <w:contextualSpacing w:val="0"/>
        <w:jc w:val="both"/>
        <w:outlineLvl w:val="1"/>
        <w:rPr>
          <w:rFonts w:asciiTheme="minorHAnsi" w:hAnsiTheme="minorHAnsi" w:cstheme="minorHAnsi"/>
          <w:sz w:val="20"/>
          <w:szCs w:val="20"/>
        </w:rPr>
      </w:pPr>
      <w:r w:rsidRPr="00D964EB">
        <w:rPr>
          <w:rFonts w:asciiTheme="minorHAnsi" w:hAnsiTheme="minorHAnsi" w:cstheme="minorHAnsi"/>
          <w:sz w:val="20"/>
          <w:szCs w:val="20"/>
        </w:rPr>
        <w:t>pomoc na wypadek awarii pojazdu, wypadku pojazdu, braku paliwa lub kradzieży pojazdu lub jego części uniemożliwiającej dalszą jazdę (bez wprowadzania limitu kilometrów, powyżej którego przysługuje świadczenie Assistance), polegającą m.in. na zorganizowaniu i pokryciu koszów:</w:t>
      </w:r>
    </w:p>
    <w:p w14:paraId="16A4D258" w14:textId="77777777" w:rsidR="00D964EB" w:rsidRDefault="00A85CC9" w:rsidP="00D964EB">
      <w:pPr>
        <w:pStyle w:val="Akapitzlist"/>
        <w:numPr>
          <w:ilvl w:val="3"/>
          <w:numId w:val="7"/>
        </w:numPr>
        <w:tabs>
          <w:tab w:val="clear" w:pos="3240"/>
        </w:tabs>
        <w:snapToGrid w:val="0"/>
        <w:spacing w:after="60" w:line="276" w:lineRule="auto"/>
        <w:ind w:left="1984" w:hanging="686"/>
        <w:contextualSpacing w:val="0"/>
        <w:jc w:val="both"/>
        <w:outlineLvl w:val="1"/>
        <w:rPr>
          <w:rFonts w:asciiTheme="minorHAnsi" w:hAnsiTheme="minorHAnsi" w:cstheme="minorHAnsi"/>
          <w:sz w:val="20"/>
          <w:szCs w:val="20"/>
        </w:rPr>
      </w:pPr>
      <w:r w:rsidRPr="00D964EB">
        <w:rPr>
          <w:rFonts w:asciiTheme="minorHAnsi" w:hAnsiTheme="minorHAnsi" w:cstheme="minorHAnsi"/>
          <w:sz w:val="20"/>
          <w:szCs w:val="20"/>
        </w:rPr>
        <w:t>naprawy na miejscu zdarzenia (bez kosztu zakupu części),</w:t>
      </w:r>
    </w:p>
    <w:p w14:paraId="1623B4C8" w14:textId="77777777" w:rsidR="00D964EB" w:rsidRDefault="00A85CC9" w:rsidP="00D964EB">
      <w:pPr>
        <w:pStyle w:val="Akapitzlist"/>
        <w:numPr>
          <w:ilvl w:val="3"/>
          <w:numId w:val="7"/>
        </w:numPr>
        <w:tabs>
          <w:tab w:val="clear" w:pos="3240"/>
        </w:tabs>
        <w:snapToGrid w:val="0"/>
        <w:spacing w:after="60" w:line="276" w:lineRule="auto"/>
        <w:ind w:left="1984" w:hanging="686"/>
        <w:contextualSpacing w:val="0"/>
        <w:jc w:val="both"/>
        <w:outlineLvl w:val="1"/>
        <w:rPr>
          <w:rFonts w:asciiTheme="minorHAnsi" w:hAnsiTheme="minorHAnsi" w:cstheme="minorHAnsi"/>
          <w:sz w:val="20"/>
          <w:szCs w:val="20"/>
        </w:rPr>
      </w:pPr>
      <w:r w:rsidRPr="00D964EB">
        <w:rPr>
          <w:rFonts w:asciiTheme="minorHAnsi" w:hAnsiTheme="minorHAnsi" w:cstheme="minorHAnsi"/>
          <w:sz w:val="20"/>
          <w:szCs w:val="20"/>
        </w:rPr>
        <w:t>dostarczeniu paliwa (bez kosztu zakupu paliwa)</w:t>
      </w:r>
    </w:p>
    <w:p w14:paraId="7FF61646" w14:textId="77777777" w:rsidR="00D964EB" w:rsidRDefault="00A85CC9" w:rsidP="00D964EB">
      <w:pPr>
        <w:pStyle w:val="Akapitzlist"/>
        <w:numPr>
          <w:ilvl w:val="3"/>
          <w:numId w:val="7"/>
        </w:numPr>
        <w:tabs>
          <w:tab w:val="clear" w:pos="3240"/>
        </w:tabs>
        <w:snapToGrid w:val="0"/>
        <w:spacing w:after="60" w:line="276" w:lineRule="auto"/>
        <w:ind w:left="1984" w:hanging="686"/>
        <w:contextualSpacing w:val="0"/>
        <w:jc w:val="both"/>
        <w:outlineLvl w:val="1"/>
        <w:rPr>
          <w:rFonts w:asciiTheme="minorHAnsi" w:hAnsiTheme="minorHAnsi" w:cstheme="minorHAnsi"/>
          <w:sz w:val="20"/>
          <w:szCs w:val="20"/>
        </w:rPr>
      </w:pPr>
      <w:r w:rsidRPr="00D964EB">
        <w:rPr>
          <w:rFonts w:asciiTheme="minorHAnsi" w:hAnsiTheme="minorHAnsi" w:cstheme="minorHAnsi"/>
          <w:sz w:val="20"/>
          <w:szCs w:val="20"/>
        </w:rPr>
        <w:t>pokryciu kosztów holowania do miejsca wskazanego przez ubezpieczonego (limit kilometrów – minimum 100 km od miejsca wypadku, awarii na terytorium RP),</w:t>
      </w:r>
    </w:p>
    <w:p w14:paraId="5155AA5F" w14:textId="77777777" w:rsidR="00D964EB" w:rsidRDefault="00A85CC9" w:rsidP="00D964EB">
      <w:pPr>
        <w:pStyle w:val="Akapitzlist"/>
        <w:numPr>
          <w:ilvl w:val="3"/>
          <w:numId w:val="7"/>
        </w:numPr>
        <w:tabs>
          <w:tab w:val="clear" w:pos="3240"/>
        </w:tabs>
        <w:snapToGrid w:val="0"/>
        <w:spacing w:after="60" w:line="276" w:lineRule="auto"/>
        <w:ind w:left="1984" w:hanging="686"/>
        <w:contextualSpacing w:val="0"/>
        <w:jc w:val="both"/>
        <w:outlineLvl w:val="1"/>
        <w:rPr>
          <w:rFonts w:asciiTheme="minorHAnsi" w:hAnsiTheme="minorHAnsi" w:cstheme="minorHAnsi"/>
          <w:sz w:val="20"/>
          <w:szCs w:val="20"/>
        </w:rPr>
      </w:pPr>
      <w:r w:rsidRPr="00D964EB">
        <w:rPr>
          <w:rFonts w:asciiTheme="minorHAnsi" w:hAnsiTheme="minorHAnsi" w:cstheme="minorHAnsi"/>
          <w:sz w:val="20"/>
          <w:szCs w:val="20"/>
        </w:rPr>
        <w:t>pokrycia kosztów kontynuowania podróży,</w:t>
      </w:r>
    </w:p>
    <w:p w14:paraId="27073712" w14:textId="77777777" w:rsidR="00D964EB" w:rsidRDefault="00A85CC9" w:rsidP="00332CCB">
      <w:pPr>
        <w:pStyle w:val="Akapitzlist"/>
        <w:numPr>
          <w:ilvl w:val="3"/>
          <w:numId w:val="7"/>
        </w:numPr>
        <w:tabs>
          <w:tab w:val="clear" w:pos="3240"/>
        </w:tabs>
        <w:snapToGrid w:val="0"/>
        <w:spacing w:after="60" w:line="276" w:lineRule="auto"/>
        <w:ind w:left="1984" w:hanging="686"/>
        <w:contextualSpacing w:val="0"/>
        <w:jc w:val="both"/>
        <w:outlineLvl w:val="1"/>
        <w:rPr>
          <w:rFonts w:asciiTheme="minorHAnsi" w:hAnsiTheme="minorHAnsi" w:cstheme="minorHAnsi"/>
          <w:sz w:val="20"/>
          <w:szCs w:val="20"/>
        </w:rPr>
      </w:pPr>
      <w:r w:rsidRPr="00D964EB">
        <w:rPr>
          <w:rFonts w:asciiTheme="minorHAnsi" w:hAnsiTheme="minorHAnsi" w:cstheme="minorHAnsi"/>
          <w:sz w:val="20"/>
          <w:szCs w:val="20"/>
        </w:rPr>
        <w:t>wynajmu samochodu zastępczego w przypadku wypadku pojazdu, awarii pojazdu lub kradzieży pojazdu na okres minimum 3 dni.</w:t>
      </w:r>
    </w:p>
    <w:p w14:paraId="76922DCE" w14:textId="280D7326" w:rsidR="00A85CC9" w:rsidRPr="00D964EB" w:rsidRDefault="00A85CC9" w:rsidP="00332CCB">
      <w:pPr>
        <w:pStyle w:val="Akapitzlist"/>
        <w:numPr>
          <w:ilvl w:val="3"/>
          <w:numId w:val="7"/>
        </w:numPr>
        <w:tabs>
          <w:tab w:val="clear" w:pos="3240"/>
        </w:tabs>
        <w:snapToGrid w:val="0"/>
        <w:spacing w:after="120" w:line="276" w:lineRule="auto"/>
        <w:ind w:left="1984" w:hanging="686"/>
        <w:contextualSpacing w:val="0"/>
        <w:jc w:val="both"/>
        <w:outlineLvl w:val="1"/>
        <w:rPr>
          <w:rFonts w:asciiTheme="minorHAnsi" w:hAnsiTheme="minorHAnsi" w:cstheme="minorHAnsi"/>
          <w:sz w:val="20"/>
          <w:szCs w:val="20"/>
        </w:rPr>
      </w:pPr>
      <w:r w:rsidRPr="00D964EB">
        <w:rPr>
          <w:rFonts w:asciiTheme="minorHAnsi" w:hAnsiTheme="minorHAnsi" w:cstheme="minorHAnsi"/>
          <w:sz w:val="20"/>
          <w:szCs w:val="20"/>
        </w:rPr>
        <w:t>Zakres terytorialny: UE</w:t>
      </w:r>
    </w:p>
    <w:p w14:paraId="7295F4E2" w14:textId="30E76E27" w:rsidR="0041172C" w:rsidRPr="0034594B" w:rsidRDefault="00A85CC9" w:rsidP="00332CCB">
      <w:pPr>
        <w:pStyle w:val="Akapitzlist"/>
        <w:numPr>
          <w:ilvl w:val="0"/>
          <w:numId w:val="17"/>
        </w:numPr>
        <w:snapToGrid w:val="0"/>
        <w:spacing w:after="240" w:line="276" w:lineRule="auto"/>
        <w:ind w:left="1276" w:hanging="567"/>
        <w:contextualSpacing w:val="0"/>
        <w:jc w:val="both"/>
        <w:outlineLvl w:val="1"/>
        <w:rPr>
          <w:rFonts w:asciiTheme="minorHAnsi" w:hAnsiTheme="minorHAnsi" w:cstheme="minorHAnsi"/>
          <w:sz w:val="20"/>
          <w:szCs w:val="20"/>
        </w:rPr>
      </w:pPr>
      <w:r w:rsidRPr="0034594B">
        <w:rPr>
          <w:rFonts w:asciiTheme="minorHAnsi" w:hAnsiTheme="minorHAnsi" w:cstheme="minorHAnsi"/>
          <w:color w:val="000000"/>
          <w:sz w:val="20"/>
          <w:szCs w:val="20"/>
        </w:rPr>
        <w:t xml:space="preserve">Ubezpieczenie dotyczy pojazdów osobowych, dostawczych i ciężarowych o dopuszczalnej masie całkowitej do 3,5 t, </w:t>
      </w:r>
      <w:r w:rsidRPr="0034594B">
        <w:rPr>
          <w:rFonts w:asciiTheme="minorHAnsi" w:hAnsiTheme="minorHAnsi" w:cstheme="minorHAnsi"/>
          <w:sz w:val="20"/>
          <w:szCs w:val="20"/>
        </w:rPr>
        <w:t>wskazanych w załączniku z wykazem pojazdów do ubezpieczenia w tym wariancie</w:t>
      </w:r>
      <w:r w:rsidRPr="0034594B">
        <w:rPr>
          <w:rFonts w:asciiTheme="minorHAnsi" w:hAnsiTheme="minorHAnsi" w:cstheme="minorHAnsi"/>
          <w:color w:val="FF0000"/>
          <w:sz w:val="20"/>
          <w:szCs w:val="20"/>
        </w:rPr>
        <w:t>.</w:t>
      </w:r>
    </w:p>
    <w:p w14:paraId="7DE07FC1" w14:textId="77777777" w:rsidR="0041172C" w:rsidRPr="0034594B" w:rsidRDefault="0041172C" w:rsidP="00332CCB">
      <w:pPr>
        <w:numPr>
          <w:ilvl w:val="0"/>
          <w:numId w:val="7"/>
        </w:numPr>
        <w:spacing w:after="120" w:line="276" w:lineRule="auto"/>
        <w:ind w:left="284" w:hanging="391"/>
        <w:jc w:val="both"/>
        <w:outlineLvl w:val="1"/>
        <w:rPr>
          <w:rFonts w:asciiTheme="minorHAnsi" w:hAnsiTheme="minorHAnsi" w:cstheme="minorHAnsi"/>
          <w:sz w:val="20"/>
          <w:szCs w:val="20"/>
        </w:rPr>
      </w:pPr>
      <w:r w:rsidRPr="0034594B">
        <w:rPr>
          <w:rFonts w:asciiTheme="minorHAnsi" w:hAnsiTheme="minorHAnsi" w:cstheme="minorHAnsi"/>
          <w:b/>
          <w:sz w:val="20"/>
          <w:szCs w:val="20"/>
        </w:rPr>
        <w:t>Składka ubezpieczeniowa:</w:t>
      </w:r>
      <w:r w:rsidRPr="0034594B">
        <w:rPr>
          <w:rFonts w:asciiTheme="minorHAnsi" w:hAnsiTheme="minorHAnsi" w:cstheme="minorHAnsi"/>
          <w:sz w:val="20"/>
          <w:szCs w:val="20"/>
        </w:rPr>
        <w:t xml:space="preserve"> </w:t>
      </w:r>
    </w:p>
    <w:p w14:paraId="56345162" w14:textId="5E2F6046" w:rsidR="00295BFC" w:rsidRPr="00D964EB" w:rsidRDefault="0041172C" w:rsidP="00D964EB">
      <w:pPr>
        <w:pStyle w:val="Akapitzlist"/>
        <w:keepNext/>
        <w:numPr>
          <w:ilvl w:val="1"/>
          <w:numId w:val="7"/>
        </w:numPr>
        <w:tabs>
          <w:tab w:val="clear" w:pos="1440"/>
        </w:tabs>
        <w:spacing w:line="276" w:lineRule="auto"/>
        <w:ind w:left="709" w:hanging="425"/>
        <w:jc w:val="both"/>
        <w:outlineLvl w:val="1"/>
        <w:rPr>
          <w:rFonts w:asciiTheme="minorHAnsi" w:hAnsiTheme="minorHAnsi" w:cstheme="minorHAnsi"/>
          <w:sz w:val="20"/>
          <w:szCs w:val="20"/>
        </w:rPr>
      </w:pPr>
      <w:r w:rsidRPr="00D964EB">
        <w:rPr>
          <w:rFonts w:asciiTheme="minorHAnsi" w:hAnsiTheme="minorHAnsi" w:cstheme="minorHAnsi"/>
          <w:sz w:val="20"/>
          <w:szCs w:val="20"/>
        </w:rPr>
        <w:lastRenderedPageBreak/>
        <w:t>Wyliczona ryczałtowo dla jednego pojazdu. Jeżeli składka wliczona jest w stawkę ubezpieczenia AC Wykonawca winien wskazać to w ofercie.</w:t>
      </w:r>
    </w:p>
    <w:p w14:paraId="3326C2FC" w14:textId="7113198E" w:rsidR="00295BFC" w:rsidRPr="0034594B" w:rsidRDefault="00295BFC" w:rsidP="00CD06CF">
      <w:pPr>
        <w:keepNext/>
        <w:spacing w:line="276" w:lineRule="auto"/>
        <w:jc w:val="both"/>
        <w:outlineLvl w:val="1"/>
        <w:rPr>
          <w:rFonts w:asciiTheme="minorHAnsi" w:hAnsiTheme="minorHAnsi" w:cstheme="minorHAnsi"/>
          <w:sz w:val="20"/>
          <w:szCs w:val="20"/>
        </w:rPr>
      </w:pPr>
    </w:p>
    <w:p w14:paraId="04C85EE4" w14:textId="543C79FF" w:rsidR="00295BFC" w:rsidRPr="0034594B" w:rsidRDefault="00295BFC" w:rsidP="00D964EB">
      <w:pPr>
        <w:pStyle w:val="Akapitzlist"/>
        <w:keepNext/>
        <w:numPr>
          <w:ilvl w:val="0"/>
          <w:numId w:val="7"/>
        </w:numPr>
        <w:tabs>
          <w:tab w:val="clear" w:pos="390"/>
        </w:tabs>
        <w:snapToGrid w:val="0"/>
        <w:spacing w:after="120" w:line="276" w:lineRule="auto"/>
        <w:ind w:left="283" w:hanging="391"/>
        <w:contextualSpacing w:val="0"/>
        <w:jc w:val="both"/>
        <w:outlineLvl w:val="1"/>
        <w:rPr>
          <w:rFonts w:asciiTheme="minorHAnsi" w:hAnsiTheme="minorHAnsi" w:cstheme="minorHAnsi"/>
          <w:b/>
          <w:sz w:val="20"/>
          <w:szCs w:val="20"/>
        </w:rPr>
      </w:pPr>
      <w:r w:rsidRPr="0034594B">
        <w:rPr>
          <w:rFonts w:asciiTheme="minorHAnsi" w:hAnsiTheme="minorHAnsi" w:cstheme="minorHAnsi"/>
          <w:b/>
          <w:sz w:val="20"/>
          <w:szCs w:val="20"/>
        </w:rPr>
        <w:t>Zakres terytorialny</w:t>
      </w:r>
    </w:p>
    <w:p w14:paraId="042941C8" w14:textId="7E33A138" w:rsidR="0041172C" w:rsidRPr="00D964EB" w:rsidRDefault="00295BFC" w:rsidP="00D964EB">
      <w:pPr>
        <w:pStyle w:val="Akapitzlist"/>
        <w:keepNext/>
        <w:numPr>
          <w:ilvl w:val="1"/>
          <w:numId w:val="7"/>
        </w:numPr>
        <w:tabs>
          <w:tab w:val="clear" w:pos="1440"/>
        </w:tabs>
        <w:spacing w:line="276" w:lineRule="auto"/>
        <w:ind w:left="709" w:hanging="425"/>
        <w:jc w:val="both"/>
        <w:outlineLvl w:val="1"/>
        <w:rPr>
          <w:rFonts w:asciiTheme="minorHAnsi" w:hAnsiTheme="minorHAnsi" w:cstheme="minorHAnsi"/>
          <w:sz w:val="20"/>
          <w:szCs w:val="20"/>
        </w:rPr>
      </w:pPr>
      <w:r w:rsidRPr="00D964EB">
        <w:rPr>
          <w:rFonts w:asciiTheme="minorHAnsi" w:hAnsiTheme="minorHAnsi" w:cstheme="minorHAnsi"/>
          <w:sz w:val="20"/>
          <w:szCs w:val="20"/>
        </w:rPr>
        <w:t>Europa (UE)</w:t>
      </w:r>
    </w:p>
    <w:p w14:paraId="7AA4CBDA" w14:textId="0D26D868" w:rsidR="00D964EB" w:rsidRDefault="00D964EB" w:rsidP="00CD06CF">
      <w:pPr>
        <w:spacing w:line="276" w:lineRule="auto"/>
        <w:rPr>
          <w:rFonts w:asciiTheme="minorHAnsi" w:hAnsiTheme="minorHAnsi" w:cstheme="minorHAnsi"/>
          <w:b/>
          <w:bCs/>
          <w:i/>
          <w:sz w:val="20"/>
          <w:szCs w:val="20"/>
        </w:rPr>
      </w:pPr>
    </w:p>
    <w:p w14:paraId="2648CFCC" w14:textId="77777777" w:rsidR="00342203" w:rsidRPr="0034594B" w:rsidRDefault="00342203" w:rsidP="00CD06CF">
      <w:pPr>
        <w:spacing w:line="276" w:lineRule="auto"/>
        <w:rPr>
          <w:rFonts w:asciiTheme="minorHAnsi" w:hAnsiTheme="minorHAnsi" w:cstheme="minorHAnsi"/>
          <w:b/>
          <w:bCs/>
          <w:i/>
          <w:sz w:val="20"/>
          <w:szCs w:val="20"/>
        </w:rPr>
      </w:pPr>
    </w:p>
    <w:p w14:paraId="7A98CC1F" w14:textId="77777777" w:rsidR="00977EC3" w:rsidRPr="0034594B" w:rsidRDefault="00977EC3" w:rsidP="00CD06CF">
      <w:pPr>
        <w:spacing w:line="276" w:lineRule="auto"/>
        <w:jc w:val="center"/>
        <w:rPr>
          <w:rFonts w:asciiTheme="minorHAnsi" w:hAnsiTheme="minorHAnsi" w:cstheme="minorHAnsi"/>
          <w:b/>
          <w:bCs/>
          <w:i/>
          <w:sz w:val="20"/>
          <w:szCs w:val="20"/>
        </w:rPr>
      </w:pPr>
      <w:r w:rsidRPr="0034594B">
        <w:rPr>
          <w:rFonts w:asciiTheme="minorHAnsi" w:hAnsiTheme="minorHAnsi" w:cstheme="minorHAnsi"/>
          <w:b/>
          <w:bCs/>
          <w:i/>
          <w:sz w:val="20"/>
          <w:szCs w:val="20"/>
        </w:rPr>
        <w:t>§6</w:t>
      </w:r>
    </w:p>
    <w:p w14:paraId="52DBB52D" w14:textId="77777777" w:rsidR="00977EC3" w:rsidRPr="0034594B" w:rsidRDefault="00977EC3" w:rsidP="00CD06CF">
      <w:pPr>
        <w:spacing w:line="276" w:lineRule="auto"/>
        <w:jc w:val="center"/>
        <w:rPr>
          <w:rFonts w:asciiTheme="minorHAnsi" w:hAnsiTheme="minorHAnsi" w:cstheme="minorHAnsi"/>
          <w:b/>
          <w:bCs/>
          <w:i/>
          <w:sz w:val="20"/>
          <w:szCs w:val="20"/>
        </w:rPr>
      </w:pPr>
      <w:r w:rsidRPr="0034594B">
        <w:rPr>
          <w:rFonts w:asciiTheme="minorHAnsi" w:hAnsiTheme="minorHAnsi" w:cstheme="minorHAnsi"/>
          <w:b/>
          <w:bCs/>
          <w:i/>
          <w:sz w:val="20"/>
          <w:szCs w:val="20"/>
        </w:rPr>
        <w:t>Warunki zgłoszenia pojazdu do ubezpieczenia</w:t>
      </w:r>
    </w:p>
    <w:p w14:paraId="51C25930" w14:textId="77777777" w:rsidR="00977EC3" w:rsidRPr="0034594B" w:rsidRDefault="00977EC3" w:rsidP="00CD06CF">
      <w:pPr>
        <w:keepNext/>
        <w:tabs>
          <w:tab w:val="num" w:pos="2268"/>
        </w:tabs>
        <w:spacing w:line="276" w:lineRule="auto"/>
        <w:ind w:left="426" w:hanging="60"/>
        <w:jc w:val="both"/>
        <w:outlineLvl w:val="1"/>
        <w:rPr>
          <w:rFonts w:asciiTheme="minorHAnsi" w:hAnsiTheme="minorHAnsi" w:cstheme="minorHAnsi"/>
          <w:sz w:val="20"/>
          <w:szCs w:val="20"/>
        </w:rPr>
      </w:pPr>
    </w:p>
    <w:p w14:paraId="27E4581C" w14:textId="77777777" w:rsidR="00977EC3" w:rsidRPr="0034594B" w:rsidRDefault="00977EC3" w:rsidP="00CD06CF">
      <w:pPr>
        <w:numPr>
          <w:ilvl w:val="0"/>
          <w:numId w:val="8"/>
        </w:numPr>
        <w:tabs>
          <w:tab w:val="clear" w:pos="390"/>
        </w:tabs>
        <w:spacing w:after="120" w:line="276" w:lineRule="auto"/>
        <w:ind w:left="283" w:hanging="391"/>
        <w:jc w:val="both"/>
        <w:rPr>
          <w:rFonts w:asciiTheme="minorHAnsi" w:hAnsiTheme="minorHAnsi" w:cstheme="minorHAnsi"/>
          <w:b/>
          <w:sz w:val="20"/>
          <w:szCs w:val="20"/>
        </w:rPr>
      </w:pPr>
      <w:r w:rsidRPr="0034594B">
        <w:rPr>
          <w:rFonts w:asciiTheme="minorHAnsi" w:hAnsiTheme="minorHAnsi" w:cstheme="minorHAnsi"/>
          <w:b/>
          <w:sz w:val="20"/>
          <w:szCs w:val="20"/>
        </w:rPr>
        <w:t>Warunki zgłoszenia pojazdu do ubezpieczenia</w:t>
      </w:r>
    </w:p>
    <w:p w14:paraId="7E15038F" w14:textId="77777777" w:rsidR="00977EC3" w:rsidRPr="0034594B" w:rsidRDefault="00977EC3" w:rsidP="00CD06CF">
      <w:pPr>
        <w:numPr>
          <w:ilvl w:val="1"/>
          <w:numId w:val="8"/>
        </w:numPr>
        <w:tabs>
          <w:tab w:val="clear" w:pos="1620"/>
        </w:tabs>
        <w:spacing w:after="120" w:line="276" w:lineRule="auto"/>
        <w:ind w:left="709" w:hanging="425"/>
        <w:jc w:val="both"/>
        <w:rPr>
          <w:rFonts w:asciiTheme="minorHAnsi" w:hAnsiTheme="minorHAnsi" w:cstheme="minorHAnsi"/>
          <w:sz w:val="20"/>
          <w:szCs w:val="20"/>
        </w:rPr>
      </w:pPr>
      <w:r w:rsidRPr="0034594B">
        <w:rPr>
          <w:rFonts w:asciiTheme="minorHAnsi" w:hAnsiTheme="minorHAnsi" w:cstheme="minorHAnsi"/>
          <w:sz w:val="20"/>
          <w:szCs w:val="20"/>
        </w:rPr>
        <w:t>Ubezpieczenia, o których mowa w pkt 1.5. zawierane będą na podstawie pisemnego zgłoszenia (formę pliku elektronicznego przesłanego za pośrednictwem poczty elektronicznej lub faksu uznaje się za wystarczającą) przekazanego Ubezpieczycielowi przez Ubezpieczającego lub za pośrednictwem Brokera. Zgłoszenie powinno zawierać co najmniej następujące dane:</w:t>
      </w:r>
    </w:p>
    <w:p w14:paraId="0736798B" w14:textId="77777777" w:rsidR="00977EC3" w:rsidRPr="0034594B" w:rsidRDefault="00977EC3" w:rsidP="00D964EB">
      <w:pPr>
        <w:numPr>
          <w:ilvl w:val="2"/>
          <w:numId w:val="8"/>
        </w:numPr>
        <w:tabs>
          <w:tab w:val="clear" w:pos="2520"/>
        </w:tabs>
        <w:spacing w:line="276" w:lineRule="auto"/>
        <w:ind w:left="1418" w:hanging="709"/>
        <w:jc w:val="both"/>
        <w:rPr>
          <w:rFonts w:asciiTheme="minorHAnsi" w:hAnsiTheme="minorHAnsi" w:cstheme="minorHAnsi"/>
          <w:sz w:val="20"/>
          <w:szCs w:val="20"/>
        </w:rPr>
      </w:pPr>
      <w:r w:rsidRPr="0034594B">
        <w:rPr>
          <w:rFonts w:asciiTheme="minorHAnsi" w:hAnsiTheme="minorHAnsi" w:cstheme="minorHAnsi"/>
          <w:sz w:val="20"/>
          <w:szCs w:val="20"/>
        </w:rPr>
        <w:t>dane Ubezpieczającego w polisie (w tym nazwa, adres);</w:t>
      </w:r>
    </w:p>
    <w:p w14:paraId="4FE16EE2" w14:textId="77777777" w:rsidR="00977EC3" w:rsidRPr="0034594B" w:rsidRDefault="00977EC3" w:rsidP="00D964EB">
      <w:pPr>
        <w:numPr>
          <w:ilvl w:val="2"/>
          <w:numId w:val="8"/>
        </w:numPr>
        <w:tabs>
          <w:tab w:val="clear" w:pos="2520"/>
        </w:tabs>
        <w:spacing w:line="276" w:lineRule="auto"/>
        <w:ind w:left="1418" w:hanging="709"/>
        <w:jc w:val="both"/>
        <w:rPr>
          <w:rFonts w:asciiTheme="minorHAnsi" w:hAnsiTheme="minorHAnsi" w:cstheme="minorHAnsi"/>
          <w:sz w:val="20"/>
          <w:szCs w:val="20"/>
        </w:rPr>
      </w:pPr>
      <w:r w:rsidRPr="0034594B">
        <w:rPr>
          <w:rFonts w:asciiTheme="minorHAnsi" w:hAnsiTheme="minorHAnsi" w:cstheme="minorHAnsi"/>
          <w:sz w:val="20"/>
          <w:szCs w:val="20"/>
        </w:rPr>
        <w:t>dane właściciela (jeśli inny niż Ubezpieczający, w tym nazwa, adres);</w:t>
      </w:r>
    </w:p>
    <w:p w14:paraId="1667C672" w14:textId="77777777" w:rsidR="00977EC3" w:rsidRPr="0034594B" w:rsidRDefault="00977EC3" w:rsidP="00D964EB">
      <w:pPr>
        <w:numPr>
          <w:ilvl w:val="2"/>
          <w:numId w:val="8"/>
        </w:numPr>
        <w:tabs>
          <w:tab w:val="clear" w:pos="2520"/>
        </w:tabs>
        <w:spacing w:line="276" w:lineRule="auto"/>
        <w:ind w:left="1418" w:hanging="709"/>
        <w:jc w:val="both"/>
        <w:rPr>
          <w:rFonts w:asciiTheme="minorHAnsi" w:hAnsiTheme="minorHAnsi" w:cstheme="minorHAnsi"/>
          <w:sz w:val="20"/>
          <w:szCs w:val="20"/>
        </w:rPr>
      </w:pPr>
      <w:r w:rsidRPr="0034594B">
        <w:rPr>
          <w:rFonts w:asciiTheme="minorHAnsi" w:hAnsiTheme="minorHAnsi" w:cstheme="minorHAnsi"/>
          <w:sz w:val="20"/>
          <w:szCs w:val="20"/>
        </w:rPr>
        <w:t>marka, model, typ i rodzaj pojazdu;</w:t>
      </w:r>
    </w:p>
    <w:p w14:paraId="2634BDEF" w14:textId="77777777" w:rsidR="00977EC3" w:rsidRPr="0034594B" w:rsidRDefault="00977EC3" w:rsidP="00D964EB">
      <w:pPr>
        <w:numPr>
          <w:ilvl w:val="2"/>
          <w:numId w:val="8"/>
        </w:numPr>
        <w:tabs>
          <w:tab w:val="clear" w:pos="2520"/>
        </w:tabs>
        <w:spacing w:line="276" w:lineRule="auto"/>
        <w:ind w:left="1418" w:hanging="709"/>
        <w:jc w:val="both"/>
        <w:rPr>
          <w:rFonts w:asciiTheme="minorHAnsi" w:hAnsiTheme="minorHAnsi" w:cstheme="minorHAnsi"/>
          <w:sz w:val="20"/>
          <w:szCs w:val="20"/>
        </w:rPr>
      </w:pPr>
      <w:r w:rsidRPr="0034594B">
        <w:rPr>
          <w:rFonts w:asciiTheme="minorHAnsi" w:hAnsiTheme="minorHAnsi" w:cstheme="minorHAnsi"/>
          <w:sz w:val="20"/>
          <w:szCs w:val="20"/>
        </w:rPr>
        <w:t>rok produkcji pojazdu;</w:t>
      </w:r>
    </w:p>
    <w:p w14:paraId="50674E58" w14:textId="77777777" w:rsidR="00977EC3" w:rsidRPr="0034594B" w:rsidRDefault="00977EC3" w:rsidP="00D964EB">
      <w:pPr>
        <w:numPr>
          <w:ilvl w:val="2"/>
          <w:numId w:val="8"/>
        </w:numPr>
        <w:tabs>
          <w:tab w:val="clear" w:pos="2520"/>
        </w:tabs>
        <w:spacing w:line="276" w:lineRule="auto"/>
        <w:ind w:left="1418" w:hanging="709"/>
        <w:jc w:val="both"/>
        <w:rPr>
          <w:rFonts w:asciiTheme="minorHAnsi" w:hAnsiTheme="minorHAnsi" w:cstheme="minorHAnsi"/>
          <w:sz w:val="20"/>
          <w:szCs w:val="20"/>
        </w:rPr>
      </w:pPr>
      <w:r w:rsidRPr="0034594B">
        <w:rPr>
          <w:rFonts w:asciiTheme="minorHAnsi" w:hAnsiTheme="minorHAnsi" w:cstheme="minorHAnsi"/>
          <w:sz w:val="20"/>
          <w:szCs w:val="20"/>
        </w:rPr>
        <w:t>data pierwszej rejestracji pojazdu;</w:t>
      </w:r>
    </w:p>
    <w:p w14:paraId="26355B9D" w14:textId="77777777" w:rsidR="00977EC3" w:rsidRPr="0034594B" w:rsidRDefault="00977EC3" w:rsidP="00D964EB">
      <w:pPr>
        <w:numPr>
          <w:ilvl w:val="2"/>
          <w:numId w:val="8"/>
        </w:numPr>
        <w:tabs>
          <w:tab w:val="clear" w:pos="2520"/>
        </w:tabs>
        <w:spacing w:line="276" w:lineRule="auto"/>
        <w:ind w:left="1418" w:hanging="709"/>
        <w:jc w:val="both"/>
        <w:rPr>
          <w:rFonts w:asciiTheme="minorHAnsi" w:hAnsiTheme="minorHAnsi" w:cstheme="minorHAnsi"/>
          <w:sz w:val="20"/>
          <w:szCs w:val="20"/>
        </w:rPr>
      </w:pPr>
      <w:r w:rsidRPr="0034594B">
        <w:rPr>
          <w:rFonts w:asciiTheme="minorHAnsi" w:hAnsiTheme="minorHAnsi" w:cstheme="minorHAnsi"/>
          <w:sz w:val="20"/>
          <w:szCs w:val="20"/>
        </w:rPr>
        <w:t>pojemność silnika;</w:t>
      </w:r>
    </w:p>
    <w:p w14:paraId="6808611C" w14:textId="77777777" w:rsidR="00977EC3" w:rsidRPr="0034594B" w:rsidRDefault="00977EC3" w:rsidP="00D964EB">
      <w:pPr>
        <w:numPr>
          <w:ilvl w:val="2"/>
          <w:numId w:val="8"/>
        </w:numPr>
        <w:tabs>
          <w:tab w:val="clear" w:pos="2520"/>
        </w:tabs>
        <w:spacing w:line="276" w:lineRule="auto"/>
        <w:ind w:left="1418" w:hanging="709"/>
        <w:jc w:val="both"/>
        <w:rPr>
          <w:rFonts w:asciiTheme="minorHAnsi" w:hAnsiTheme="minorHAnsi" w:cstheme="minorHAnsi"/>
          <w:sz w:val="20"/>
          <w:szCs w:val="20"/>
        </w:rPr>
      </w:pPr>
      <w:r w:rsidRPr="0034594B">
        <w:rPr>
          <w:rFonts w:asciiTheme="minorHAnsi" w:hAnsiTheme="minorHAnsi" w:cstheme="minorHAnsi"/>
          <w:sz w:val="20"/>
          <w:szCs w:val="20"/>
        </w:rPr>
        <w:t>moc pojazdu;</w:t>
      </w:r>
    </w:p>
    <w:p w14:paraId="24826F87" w14:textId="77777777" w:rsidR="00977EC3" w:rsidRPr="0034594B" w:rsidRDefault="00977EC3" w:rsidP="00D964EB">
      <w:pPr>
        <w:numPr>
          <w:ilvl w:val="2"/>
          <w:numId w:val="8"/>
        </w:numPr>
        <w:tabs>
          <w:tab w:val="clear" w:pos="2520"/>
        </w:tabs>
        <w:spacing w:line="276" w:lineRule="auto"/>
        <w:ind w:left="1418" w:hanging="709"/>
        <w:jc w:val="both"/>
        <w:rPr>
          <w:rFonts w:asciiTheme="minorHAnsi" w:hAnsiTheme="minorHAnsi" w:cstheme="minorHAnsi"/>
          <w:sz w:val="20"/>
          <w:szCs w:val="20"/>
        </w:rPr>
      </w:pPr>
      <w:r w:rsidRPr="0034594B">
        <w:rPr>
          <w:rFonts w:asciiTheme="minorHAnsi" w:hAnsiTheme="minorHAnsi" w:cstheme="minorHAnsi"/>
          <w:sz w:val="20"/>
          <w:szCs w:val="20"/>
        </w:rPr>
        <w:t>ładowność pojazdu;</w:t>
      </w:r>
    </w:p>
    <w:p w14:paraId="3AFD474A" w14:textId="77777777" w:rsidR="00977EC3" w:rsidRPr="0034594B" w:rsidRDefault="00977EC3" w:rsidP="00D964EB">
      <w:pPr>
        <w:numPr>
          <w:ilvl w:val="2"/>
          <w:numId w:val="8"/>
        </w:numPr>
        <w:tabs>
          <w:tab w:val="clear" w:pos="2520"/>
        </w:tabs>
        <w:spacing w:line="276" w:lineRule="auto"/>
        <w:ind w:left="1418" w:hanging="709"/>
        <w:jc w:val="both"/>
        <w:rPr>
          <w:rFonts w:asciiTheme="minorHAnsi" w:hAnsiTheme="minorHAnsi" w:cstheme="minorHAnsi"/>
          <w:sz w:val="20"/>
          <w:szCs w:val="20"/>
        </w:rPr>
      </w:pPr>
      <w:r w:rsidRPr="0034594B">
        <w:rPr>
          <w:rFonts w:asciiTheme="minorHAnsi" w:hAnsiTheme="minorHAnsi" w:cstheme="minorHAnsi"/>
          <w:sz w:val="20"/>
          <w:szCs w:val="20"/>
        </w:rPr>
        <w:t>przebieg (nie dotyczy pojazdów nowych);</w:t>
      </w:r>
    </w:p>
    <w:p w14:paraId="21A4B308" w14:textId="77777777" w:rsidR="00977EC3" w:rsidRPr="0034594B" w:rsidRDefault="00977EC3" w:rsidP="00D964EB">
      <w:pPr>
        <w:numPr>
          <w:ilvl w:val="2"/>
          <w:numId w:val="8"/>
        </w:numPr>
        <w:tabs>
          <w:tab w:val="clear" w:pos="2520"/>
        </w:tabs>
        <w:spacing w:line="276" w:lineRule="auto"/>
        <w:ind w:left="1418" w:hanging="709"/>
        <w:jc w:val="both"/>
        <w:rPr>
          <w:rFonts w:asciiTheme="minorHAnsi" w:hAnsiTheme="minorHAnsi" w:cstheme="minorHAnsi"/>
          <w:sz w:val="20"/>
          <w:szCs w:val="20"/>
        </w:rPr>
      </w:pPr>
      <w:r w:rsidRPr="0034594B">
        <w:rPr>
          <w:rFonts w:asciiTheme="minorHAnsi" w:hAnsiTheme="minorHAnsi" w:cstheme="minorHAnsi"/>
          <w:sz w:val="20"/>
          <w:szCs w:val="20"/>
        </w:rPr>
        <w:t>liczba miejsc zgodna z dowodem rejestracyjnym;</w:t>
      </w:r>
    </w:p>
    <w:p w14:paraId="467508E1" w14:textId="77777777" w:rsidR="00977EC3" w:rsidRPr="0034594B" w:rsidRDefault="00977EC3" w:rsidP="00D964EB">
      <w:pPr>
        <w:numPr>
          <w:ilvl w:val="2"/>
          <w:numId w:val="8"/>
        </w:numPr>
        <w:tabs>
          <w:tab w:val="clear" w:pos="2520"/>
        </w:tabs>
        <w:spacing w:line="276" w:lineRule="auto"/>
        <w:ind w:left="1418" w:hanging="709"/>
        <w:jc w:val="both"/>
        <w:rPr>
          <w:rFonts w:asciiTheme="minorHAnsi" w:hAnsiTheme="minorHAnsi" w:cstheme="minorHAnsi"/>
          <w:sz w:val="20"/>
          <w:szCs w:val="20"/>
        </w:rPr>
      </w:pPr>
      <w:r w:rsidRPr="0034594B">
        <w:rPr>
          <w:rFonts w:asciiTheme="minorHAnsi" w:hAnsiTheme="minorHAnsi" w:cstheme="minorHAnsi"/>
          <w:sz w:val="20"/>
          <w:szCs w:val="20"/>
        </w:rPr>
        <w:t>nr rejestracyjny pojazdu;</w:t>
      </w:r>
    </w:p>
    <w:p w14:paraId="12E28AD0" w14:textId="77777777" w:rsidR="00977EC3" w:rsidRPr="0034594B" w:rsidRDefault="00977EC3" w:rsidP="00D964EB">
      <w:pPr>
        <w:numPr>
          <w:ilvl w:val="2"/>
          <w:numId w:val="8"/>
        </w:numPr>
        <w:tabs>
          <w:tab w:val="clear" w:pos="2520"/>
        </w:tabs>
        <w:spacing w:line="276" w:lineRule="auto"/>
        <w:ind w:left="1418" w:hanging="709"/>
        <w:jc w:val="both"/>
        <w:rPr>
          <w:rFonts w:asciiTheme="minorHAnsi" w:hAnsiTheme="minorHAnsi" w:cstheme="minorHAnsi"/>
          <w:sz w:val="20"/>
          <w:szCs w:val="20"/>
        </w:rPr>
      </w:pPr>
      <w:r w:rsidRPr="0034594B">
        <w:rPr>
          <w:rFonts w:asciiTheme="minorHAnsi" w:hAnsiTheme="minorHAnsi" w:cstheme="minorHAnsi"/>
          <w:sz w:val="20"/>
          <w:szCs w:val="20"/>
        </w:rPr>
        <w:t>nr VIN;</w:t>
      </w:r>
    </w:p>
    <w:p w14:paraId="17F416B2" w14:textId="77777777" w:rsidR="00977EC3" w:rsidRPr="0034594B" w:rsidRDefault="00977EC3" w:rsidP="00D964EB">
      <w:pPr>
        <w:numPr>
          <w:ilvl w:val="2"/>
          <w:numId w:val="8"/>
        </w:numPr>
        <w:tabs>
          <w:tab w:val="clear" w:pos="2520"/>
        </w:tabs>
        <w:spacing w:line="276" w:lineRule="auto"/>
        <w:ind w:left="1418" w:hanging="709"/>
        <w:jc w:val="both"/>
        <w:rPr>
          <w:rFonts w:asciiTheme="minorHAnsi" w:hAnsiTheme="minorHAnsi" w:cstheme="minorHAnsi"/>
          <w:sz w:val="20"/>
          <w:szCs w:val="20"/>
        </w:rPr>
      </w:pPr>
      <w:r w:rsidRPr="0034594B">
        <w:rPr>
          <w:rFonts w:asciiTheme="minorHAnsi" w:hAnsiTheme="minorHAnsi" w:cstheme="minorHAnsi"/>
          <w:sz w:val="20"/>
          <w:szCs w:val="20"/>
        </w:rPr>
        <w:t>rodzaj ubezpieczeń, które mają być zawarte w związku z pojazdem;</w:t>
      </w:r>
    </w:p>
    <w:p w14:paraId="0A1768EF" w14:textId="77777777" w:rsidR="00977EC3" w:rsidRPr="0034594B" w:rsidRDefault="00977EC3" w:rsidP="00D964EB">
      <w:pPr>
        <w:numPr>
          <w:ilvl w:val="2"/>
          <w:numId w:val="8"/>
        </w:numPr>
        <w:tabs>
          <w:tab w:val="clear" w:pos="2520"/>
        </w:tabs>
        <w:spacing w:line="276" w:lineRule="auto"/>
        <w:ind w:left="1418" w:hanging="709"/>
        <w:jc w:val="both"/>
        <w:rPr>
          <w:rFonts w:asciiTheme="minorHAnsi" w:hAnsiTheme="minorHAnsi" w:cstheme="minorHAnsi"/>
          <w:sz w:val="20"/>
          <w:szCs w:val="20"/>
        </w:rPr>
      </w:pPr>
      <w:r w:rsidRPr="0034594B">
        <w:rPr>
          <w:rFonts w:asciiTheme="minorHAnsi" w:hAnsiTheme="minorHAnsi" w:cstheme="minorHAnsi"/>
          <w:sz w:val="20"/>
          <w:szCs w:val="20"/>
        </w:rPr>
        <w:t>okres ubezpieczenia;</w:t>
      </w:r>
    </w:p>
    <w:p w14:paraId="3F214A21" w14:textId="77777777" w:rsidR="00977EC3" w:rsidRPr="0034594B" w:rsidRDefault="00977EC3" w:rsidP="00D964EB">
      <w:pPr>
        <w:numPr>
          <w:ilvl w:val="2"/>
          <w:numId w:val="8"/>
        </w:numPr>
        <w:tabs>
          <w:tab w:val="clear" w:pos="2520"/>
        </w:tabs>
        <w:snapToGrid w:val="0"/>
        <w:spacing w:after="120" w:line="276" w:lineRule="auto"/>
        <w:ind w:left="1418" w:hanging="709"/>
        <w:jc w:val="both"/>
        <w:rPr>
          <w:rFonts w:asciiTheme="minorHAnsi" w:hAnsiTheme="minorHAnsi" w:cstheme="minorHAnsi"/>
          <w:sz w:val="20"/>
          <w:szCs w:val="20"/>
        </w:rPr>
      </w:pPr>
      <w:r w:rsidRPr="0034594B">
        <w:rPr>
          <w:rFonts w:asciiTheme="minorHAnsi" w:hAnsiTheme="minorHAnsi" w:cstheme="minorHAnsi"/>
          <w:sz w:val="20"/>
          <w:szCs w:val="20"/>
        </w:rPr>
        <w:t>aktualną wartość sumy ubezpieczenia pojazdu, z zaznaczeniem czy suma zawiera podatek VAT.</w:t>
      </w:r>
    </w:p>
    <w:p w14:paraId="7B259B64" w14:textId="172E20BE" w:rsidR="00977EC3" w:rsidRPr="0034594B" w:rsidRDefault="001007C5" w:rsidP="00CD06CF">
      <w:pPr>
        <w:numPr>
          <w:ilvl w:val="1"/>
          <w:numId w:val="8"/>
        </w:numPr>
        <w:tabs>
          <w:tab w:val="clear" w:pos="1620"/>
        </w:tabs>
        <w:snapToGrid w:val="0"/>
        <w:spacing w:after="120" w:line="276" w:lineRule="auto"/>
        <w:ind w:left="709" w:hanging="425"/>
        <w:jc w:val="both"/>
        <w:rPr>
          <w:rFonts w:asciiTheme="minorHAnsi" w:hAnsiTheme="minorHAnsi" w:cstheme="minorHAnsi"/>
          <w:sz w:val="20"/>
          <w:szCs w:val="20"/>
        </w:rPr>
      </w:pPr>
      <w:r w:rsidRPr="001007C5">
        <w:rPr>
          <w:rFonts w:asciiTheme="minorHAnsi" w:hAnsiTheme="minorHAnsi" w:cstheme="minorHAnsi"/>
          <w:sz w:val="20"/>
          <w:szCs w:val="20"/>
        </w:rPr>
        <w:t>Dopuszcza się możliwość dostarczenia dokumentów dotyczących pojazdu (dowód rejestracyjny, faktura, itp.) w terminie trzech dni roboczych od dnia rejestracji pojazdu. Zgłoszenie pojazdu do ubezpieczenia powinno nastąpić w dniu rejestracji pojazdu. Ubezpieczyciel zawrze ubezpieczenie od dnia i godziny dokonania zgłoszenia</w:t>
      </w:r>
      <w:r w:rsidR="00977EC3" w:rsidRPr="0034594B">
        <w:rPr>
          <w:rFonts w:asciiTheme="minorHAnsi" w:hAnsiTheme="minorHAnsi" w:cstheme="minorHAnsi"/>
          <w:sz w:val="20"/>
          <w:szCs w:val="20"/>
        </w:rPr>
        <w:t>.</w:t>
      </w:r>
    </w:p>
    <w:p w14:paraId="6CC74F80" w14:textId="0837AF21" w:rsidR="00977EC3" w:rsidRPr="0034594B" w:rsidRDefault="00977EC3" w:rsidP="00CD06CF">
      <w:pPr>
        <w:numPr>
          <w:ilvl w:val="1"/>
          <w:numId w:val="8"/>
        </w:numPr>
        <w:tabs>
          <w:tab w:val="clear" w:pos="1620"/>
        </w:tabs>
        <w:snapToGrid w:val="0"/>
        <w:spacing w:after="120" w:line="276" w:lineRule="auto"/>
        <w:ind w:left="709" w:hanging="425"/>
        <w:jc w:val="both"/>
        <w:rPr>
          <w:rFonts w:asciiTheme="minorHAnsi" w:hAnsiTheme="minorHAnsi" w:cstheme="minorHAnsi"/>
          <w:sz w:val="20"/>
          <w:szCs w:val="20"/>
        </w:rPr>
      </w:pPr>
      <w:r w:rsidRPr="0034594B">
        <w:rPr>
          <w:rFonts w:asciiTheme="minorHAnsi" w:hAnsiTheme="minorHAnsi" w:cstheme="minorHAnsi"/>
          <w:sz w:val="20"/>
          <w:szCs w:val="20"/>
        </w:rPr>
        <w:t>Ubezpieczyciel niezwłocznie po otrzymaniu informacji, o których mowa w pkt 6.1., zobowiązany jest potwierdzić fakt zawarcia ubezpieczenia wystawiając następujące dokumenty ubezpieczenia: polisę zawierającą co najmniej: określenie Ubezpieczającego i Ubezpieczonego, rodzaj zawartych ubezpieczeń, dane pojazdu, z którym te ubezpieczenia są związane, okres ubezpieczenia, wysokość składki i termin płatności oraz dodatkowo potwierdzenie zawarcia ubezpieczenia OC p.p.m.</w:t>
      </w:r>
    </w:p>
    <w:p w14:paraId="3541CB3A" w14:textId="4F95EF82" w:rsidR="00977EC3" w:rsidRPr="0034594B" w:rsidRDefault="00977EC3" w:rsidP="00CD06CF">
      <w:pPr>
        <w:numPr>
          <w:ilvl w:val="1"/>
          <w:numId w:val="8"/>
        </w:numPr>
        <w:tabs>
          <w:tab w:val="clear" w:pos="1620"/>
        </w:tabs>
        <w:snapToGrid w:val="0"/>
        <w:spacing w:after="120" w:line="276" w:lineRule="auto"/>
        <w:ind w:left="709" w:hanging="425"/>
        <w:jc w:val="both"/>
        <w:rPr>
          <w:rFonts w:asciiTheme="minorHAnsi" w:hAnsiTheme="minorHAnsi" w:cstheme="minorHAnsi"/>
          <w:sz w:val="20"/>
          <w:szCs w:val="20"/>
        </w:rPr>
      </w:pPr>
      <w:r w:rsidRPr="0034594B">
        <w:rPr>
          <w:rFonts w:asciiTheme="minorHAnsi" w:hAnsiTheme="minorHAnsi" w:cstheme="minorHAnsi"/>
          <w:sz w:val="20"/>
          <w:szCs w:val="20"/>
        </w:rPr>
        <w:t>Ubezpieczyciel zobowiązany jest przekazać niezwłocznie, najpóźniej w następnym dniu roboczym do Ubezpieczającego dokumenty, o których mowa w pkt 6.4. Termin ten uznany zostanie za zachowany, jeśli przekazanie nastąpi co najmniej w formie pliku elektronicznego przesłanego za pośrednictwem poczty elektronicznej lub faksu. W przypadku, gdy Ubezpieczający poniesie koszty z tytułu nieposiadania dokumentu ubezpieczenia wynikające z niedopełnienia przez Ubezpieczyciela obowiązku, o którym mowa wyżej, Ubezpieczyciel zwróci Ubezpieczającemu te koszty.</w:t>
      </w:r>
    </w:p>
    <w:p w14:paraId="78FB6FDF" w14:textId="7632DBD4" w:rsidR="00977EC3" w:rsidRDefault="00977EC3" w:rsidP="00342203">
      <w:pPr>
        <w:numPr>
          <w:ilvl w:val="1"/>
          <w:numId w:val="8"/>
        </w:numPr>
        <w:tabs>
          <w:tab w:val="clear" w:pos="1620"/>
        </w:tabs>
        <w:snapToGrid w:val="0"/>
        <w:spacing w:line="276" w:lineRule="auto"/>
        <w:ind w:left="709" w:hanging="425"/>
        <w:jc w:val="both"/>
        <w:rPr>
          <w:rFonts w:asciiTheme="minorHAnsi" w:hAnsiTheme="minorHAnsi" w:cstheme="minorHAnsi"/>
          <w:sz w:val="20"/>
          <w:szCs w:val="20"/>
        </w:rPr>
      </w:pPr>
      <w:r w:rsidRPr="0034594B">
        <w:rPr>
          <w:rFonts w:asciiTheme="minorHAnsi" w:hAnsiTheme="minorHAnsi" w:cstheme="minorHAnsi"/>
          <w:sz w:val="20"/>
          <w:szCs w:val="20"/>
        </w:rPr>
        <w:lastRenderedPageBreak/>
        <w:t xml:space="preserve">Wykonawca zobowiązany jest do wystawienia dokumentów potwierdzających zawarcie ubezpieczeń dla wszystkich pojazdów wyszczególnionych w </w:t>
      </w:r>
      <w:r w:rsidRPr="00AA5937">
        <w:rPr>
          <w:rFonts w:asciiTheme="minorHAnsi" w:hAnsiTheme="minorHAnsi" w:cstheme="minorHAnsi"/>
          <w:b/>
          <w:sz w:val="20"/>
          <w:szCs w:val="20"/>
        </w:rPr>
        <w:t xml:space="preserve">Załączniku nr </w:t>
      </w:r>
      <w:r w:rsidR="00336543">
        <w:rPr>
          <w:rFonts w:asciiTheme="minorHAnsi" w:hAnsiTheme="minorHAnsi" w:cstheme="minorHAnsi"/>
          <w:b/>
          <w:sz w:val="20"/>
          <w:szCs w:val="20"/>
        </w:rPr>
        <w:t>4</w:t>
      </w:r>
      <w:r w:rsidRPr="00AA5937">
        <w:rPr>
          <w:rFonts w:asciiTheme="minorHAnsi" w:hAnsiTheme="minorHAnsi" w:cstheme="minorHAnsi"/>
          <w:b/>
          <w:sz w:val="20"/>
          <w:szCs w:val="20"/>
        </w:rPr>
        <w:t xml:space="preserve"> do SWZ</w:t>
      </w:r>
      <w:r w:rsidRPr="0034594B">
        <w:rPr>
          <w:rFonts w:asciiTheme="minorHAnsi" w:hAnsiTheme="minorHAnsi" w:cstheme="minorHAnsi"/>
          <w:sz w:val="20"/>
          <w:szCs w:val="20"/>
        </w:rPr>
        <w:t xml:space="preserve"> i przekazać je niezwłocznie Ubezpieczającemu lub jego pełnomocnikowi (Brokerowi). Zostaną one wystawione i przekazane przez Ubezpieczyciela w taki sposób i w takich terminach, aby brak jakiegokolwiek dokumentu nie powodował utrudnień lub ograniczeń po stronie Ubezpieczającego w swobodnym użytkowaniu pojazdów.</w:t>
      </w:r>
    </w:p>
    <w:p w14:paraId="18285D70" w14:textId="77777777" w:rsidR="00342203" w:rsidRPr="0034594B" w:rsidRDefault="00342203" w:rsidP="00342203">
      <w:pPr>
        <w:snapToGrid w:val="0"/>
        <w:spacing w:line="276" w:lineRule="auto"/>
        <w:ind w:left="709"/>
        <w:jc w:val="both"/>
        <w:rPr>
          <w:rFonts w:asciiTheme="minorHAnsi" w:hAnsiTheme="minorHAnsi" w:cstheme="minorHAnsi"/>
          <w:sz w:val="20"/>
          <w:szCs w:val="20"/>
        </w:rPr>
      </w:pPr>
    </w:p>
    <w:p w14:paraId="60FFB12D" w14:textId="77777777" w:rsidR="00977EC3" w:rsidRPr="0034594B" w:rsidRDefault="00977EC3" w:rsidP="00CD06CF">
      <w:pPr>
        <w:numPr>
          <w:ilvl w:val="0"/>
          <w:numId w:val="8"/>
        </w:numPr>
        <w:tabs>
          <w:tab w:val="clear" w:pos="390"/>
        </w:tabs>
        <w:snapToGrid w:val="0"/>
        <w:spacing w:after="120" w:line="276" w:lineRule="auto"/>
        <w:ind w:left="284"/>
        <w:jc w:val="both"/>
        <w:rPr>
          <w:rFonts w:asciiTheme="minorHAnsi" w:hAnsiTheme="minorHAnsi" w:cstheme="minorHAnsi"/>
          <w:b/>
          <w:sz w:val="20"/>
          <w:szCs w:val="20"/>
        </w:rPr>
      </w:pPr>
      <w:r w:rsidRPr="0034594B">
        <w:rPr>
          <w:rFonts w:asciiTheme="minorHAnsi" w:hAnsiTheme="minorHAnsi" w:cstheme="minorHAnsi"/>
          <w:b/>
          <w:sz w:val="20"/>
          <w:szCs w:val="20"/>
        </w:rPr>
        <w:t>Indywidualne okresy ubezpieczenia</w:t>
      </w:r>
    </w:p>
    <w:p w14:paraId="4C3CEC3B" w14:textId="77777777" w:rsidR="00977EC3" w:rsidRPr="0034594B" w:rsidRDefault="00977EC3" w:rsidP="00CD06CF">
      <w:pPr>
        <w:numPr>
          <w:ilvl w:val="1"/>
          <w:numId w:val="8"/>
        </w:numPr>
        <w:tabs>
          <w:tab w:val="clear" w:pos="1620"/>
        </w:tabs>
        <w:snapToGrid w:val="0"/>
        <w:spacing w:after="120" w:line="276" w:lineRule="auto"/>
        <w:ind w:left="709" w:hanging="425"/>
        <w:jc w:val="both"/>
        <w:rPr>
          <w:rFonts w:asciiTheme="minorHAnsi" w:hAnsiTheme="minorHAnsi" w:cstheme="minorHAnsi"/>
          <w:sz w:val="20"/>
          <w:szCs w:val="20"/>
        </w:rPr>
      </w:pPr>
      <w:r w:rsidRPr="0034594B">
        <w:rPr>
          <w:rFonts w:asciiTheme="minorHAnsi" w:hAnsiTheme="minorHAnsi" w:cstheme="minorHAnsi"/>
          <w:sz w:val="20"/>
          <w:szCs w:val="20"/>
        </w:rPr>
        <w:t>Okresy ubezpieczenia pojazdów zgłoszonych do ubezpieczenia w danym okresie rozliczeniowym rozpoczynać się będą w dniu wskazanym w zgłoszeniu pojazdu do ubezpieczenia.</w:t>
      </w:r>
    </w:p>
    <w:p w14:paraId="583F67F4" w14:textId="77777777" w:rsidR="00977EC3" w:rsidRPr="0034594B" w:rsidRDefault="00977EC3" w:rsidP="00CD06CF">
      <w:pPr>
        <w:numPr>
          <w:ilvl w:val="1"/>
          <w:numId w:val="8"/>
        </w:numPr>
        <w:tabs>
          <w:tab w:val="clear" w:pos="1620"/>
        </w:tabs>
        <w:snapToGrid w:val="0"/>
        <w:spacing w:after="120" w:line="276" w:lineRule="auto"/>
        <w:ind w:left="709" w:hanging="425"/>
        <w:jc w:val="both"/>
        <w:rPr>
          <w:rFonts w:asciiTheme="minorHAnsi" w:hAnsiTheme="minorHAnsi" w:cstheme="minorHAnsi"/>
          <w:sz w:val="20"/>
          <w:szCs w:val="20"/>
        </w:rPr>
      </w:pPr>
      <w:r w:rsidRPr="0034594B">
        <w:rPr>
          <w:rFonts w:asciiTheme="minorHAnsi" w:hAnsiTheme="minorHAnsi" w:cstheme="minorHAnsi"/>
          <w:sz w:val="20"/>
          <w:szCs w:val="20"/>
        </w:rPr>
        <w:t>Okresy ubezpieczenia floty pojazdów, w tym nowo nabytych pojazdów w czasie obowiązywania niniejszej Umowy, zostaną zrównane tak, aby początkowa data okresów ubezpieczenia pojazdów pokrywała się z początkową datą okresu rozliczeniowego.</w:t>
      </w:r>
    </w:p>
    <w:p w14:paraId="1383D149" w14:textId="77777777" w:rsidR="00977EC3" w:rsidRPr="0034594B" w:rsidRDefault="00977EC3" w:rsidP="00CD06CF">
      <w:pPr>
        <w:numPr>
          <w:ilvl w:val="1"/>
          <w:numId w:val="8"/>
        </w:numPr>
        <w:tabs>
          <w:tab w:val="clear" w:pos="1620"/>
        </w:tabs>
        <w:snapToGrid w:val="0"/>
        <w:spacing w:after="120" w:line="276" w:lineRule="auto"/>
        <w:ind w:left="709" w:hanging="425"/>
        <w:jc w:val="both"/>
        <w:rPr>
          <w:rFonts w:asciiTheme="minorHAnsi" w:hAnsiTheme="minorHAnsi" w:cstheme="minorHAnsi"/>
          <w:sz w:val="20"/>
          <w:szCs w:val="20"/>
        </w:rPr>
      </w:pPr>
      <w:r w:rsidRPr="0034594B">
        <w:rPr>
          <w:rFonts w:asciiTheme="minorHAnsi" w:hAnsiTheme="minorHAnsi" w:cstheme="minorHAnsi"/>
          <w:sz w:val="20"/>
          <w:szCs w:val="20"/>
        </w:rPr>
        <w:t>W związku z zasadą określoną w pkt. 2.2. składka za ubezpieczenia AC i NNW dla pojazdów nowo nabytych zostanie naliczana pro rata za każdy dzień ochrony ubezpieczeniowej.</w:t>
      </w:r>
    </w:p>
    <w:p w14:paraId="4300A899" w14:textId="17C64A71" w:rsidR="00977EC3" w:rsidRPr="0034594B" w:rsidRDefault="00977EC3" w:rsidP="00CD06CF">
      <w:pPr>
        <w:numPr>
          <w:ilvl w:val="1"/>
          <w:numId w:val="8"/>
        </w:numPr>
        <w:tabs>
          <w:tab w:val="clear" w:pos="1620"/>
        </w:tabs>
        <w:snapToGrid w:val="0"/>
        <w:spacing w:after="120" w:line="276" w:lineRule="auto"/>
        <w:ind w:left="709" w:hanging="425"/>
        <w:jc w:val="both"/>
        <w:rPr>
          <w:rFonts w:asciiTheme="minorHAnsi" w:hAnsiTheme="minorHAnsi" w:cstheme="minorHAnsi"/>
          <w:sz w:val="20"/>
          <w:szCs w:val="20"/>
        </w:rPr>
      </w:pPr>
      <w:r w:rsidRPr="0034594B">
        <w:rPr>
          <w:rFonts w:asciiTheme="minorHAnsi" w:hAnsiTheme="minorHAnsi" w:cstheme="minorHAnsi"/>
          <w:sz w:val="20"/>
          <w:szCs w:val="20"/>
        </w:rPr>
        <w:t>W ubezpieczeniu OC p.p.m. wyrównanie okresów ubezpieczenia będzie realizowane przez:</w:t>
      </w:r>
    </w:p>
    <w:p w14:paraId="0B50CF93" w14:textId="77777777" w:rsidR="00977EC3" w:rsidRPr="0034594B" w:rsidRDefault="00977EC3" w:rsidP="00CD06CF">
      <w:pPr>
        <w:numPr>
          <w:ilvl w:val="2"/>
          <w:numId w:val="8"/>
        </w:numPr>
        <w:tabs>
          <w:tab w:val="clear" w:pos="2520"/>
        </w:tabs>
        <w:snapToGrid w:val="0"/>
        <w:spacing w:after="120" w:line="276" w:lineRule="auto"/>
        <w:ind w:left="1276" w:hanging="567"/>
        <w:jc w:val="both"/>
        <w:rPr>
          <w:rFonts w:asciiTheme="minorHAnsi" w:hAnsiTheme="minorHAnsi" w:cstheme="minorHAnsi"/>
          <w:sz w:val="20"/>
          <w:szCs w:val="20"/>
        </w:rPr>
      </w:pPr>
      <w:r w:rsidRPr="0034594B">
        <w:rPr>
          <w:rFonts w:asciiTheme="minorHAnsi" w:hAnsiTheme="minorHAnsi" w:cstheme="minorHAnsi"/>
          <w:sz w:val="20"/>
          <w:szCs w:val="20"/>
        </w:rPr>
        <w:t>zawarcie umowy ubezpieczenia na okres 12 miesięcy, z rozłożeniem składki na dwie raty – bez pobierania zwyżki z tytułu rozłożenia płatności na raty;</w:t>
      </w:r>
    </w:p>
    <w:p w14:paraId="3637F3A6" w14:textId="77777777" w:rsidR="00977EC3" w:rsidRPr="0034594B" w:rsidRDefault="00977EC3" w:rsidP="00CD06CF">
      <w:pPr>
        <w:numPr>
          <w:ilvl w:val="2"/>
          <w:numId w:val="8"/>
        </w:numPr>
        <w:tabs>
          <w:tab w:val="clear" w:pos="2520"/>
        </w:tabs>
        <w:snapToGrid w:val="0"/>
        <w:spacing w:after="120" w:line="276" w:lineRule="auto"/>
        <w:ind w:left="1276" w:hanging="567"/>
        <w:jc w:val="both"/>
        <w:rPr>
          <w:rFonts w:asciiTheme="minorHAnsi" w:hAnsiTheme="minorHAnsi" w:cstheme="minorHAnsi"/>
          <w:sz w:val="20"/>
          <w:szCs w:val="20"/>
        </w:rPr>
      </w:pPr>
      <w:r w:rsidRPr="0034594B">
        <w:rPr>
          <w:rFonts w:asciiTheme="minorHAnsi" w:hAnsiTheme="minorHAnsi" w:cstheme="minorHAnsi"/>
          <w:sz w:val="20"/>
          <w:szCs w:val="20"/>
        </w:rPr>
        <w:t>pierwsza rata składki jest należna za okres od dnia zawarcia umowy ubezpieczenia dla danego pojazdu do ostatniego dnia okresu rozliczeniowego Umowy;</w:t>
      </w:r>
    </w:p>
    <w:p w14:paraId="1B8AF874" w14:textId="77777777" w:rsidR="00977EC3" w:rsidRPr="0034594B" w:rsidRDefault="00977EC3" w:rsidP="00CD06CF">
      <w:pPr>
        <w:numPr>
          <w:ilvl w:val="2"/>
          <w:numId w:val="8"/>
        </w:numPr>
        <w:tabs>
          <w:tab w:val="clear" w:pos="2520"/>
        </w:tabs>
        <w:snapToGrid w:val="0"/>
        <w:spacing w:after="120" w:line="276" w:lineRule="auto"/>
        <w:ind w:left="1276" w:hanging="567"/>
        <w:jc w:val="both"/>
        <w:rPr>
          <w:rFonts w:asciiTheme="minorHAnsi" w:hAnsiTheme="minorHAnsi" w:cstheme="minorHAnsi"/>
          <w:sz w:val="20"/>
          <w:szCs w:val="20"/>
        </w:rPr>
      </w:pPr>
      <w:r w:rsidRPr="0034594B">
        <w:rPr>
          <w:rFonts w:asciiTheme="minorHAnsi" w:hAnsiTheme="minorHAnsi" w:cstheme="minorHAnsi"/>
          <w:sz w:val="20"/>
          <w:szCs w:val="20"/>
        </w:rPr>
        <w:t>druga rata składki jest należna za okres od pierwszego dnia następnego okresu rozliczeniowego Umowy do ostatniego dnia umowy ubezpieczenia dla danego pojazdu. Wysokość drugiej raty składki stanowi różnicę pomiędzy wysokością składki rocznej a wysokością pierwszej raty obliczonej zgodnie z zapisami w pkt. 2.4.2.</w:t>
      </w:r>
    </w:p>
    <w:p w14:paraId="3D6A491E" w14:textId="06797B07" w:rsidR="00977EC3" w:rsidRPr="0034594B" w:rsidRDefault="00977EC3" w:rsidP="00CD06CF">
      <w:pPr>
        <w:numPr>
          <w:ilvl w:val="1"/>
          <w:numId w:val="8"/>
        </w:numPr>
        <w:tabs>
          <w:tab w:val="clear" w:pos="1620"/>
        </w:tabs>
        <w:snapToGrid w:val="0"/>
        <w:spacing w:after="120" w:line="276" w:lineRule="auto"/>
        <w:ind w:left="709" w:hanging="425"/>
        <w:jc w:val="both"/>
        <w:rPr>
          <w:rFonts w:asciiTheme="minorHAnsi" w:hAnsiTheme="minorHAnsi" w:cstheme="minorHAnsi"/>
          <w:sz w:val="20"/>
          <w:szCs w:val="20"/>
        </w:rPr>
      </w:pPr>
      <w:r w:rsidRPr="0034594B">
        <w:rPr>
          <w:rFonts w:asciiTheme="minorHAnsi" w:hAnsiTheme="minorHAnsi" w:cstheme="minorHAnsi"/>
          <w:sz w:val="20"/>
          <w:szCs w:val="20"/>
        </w:rPr>
        <w:t>Strony zgodnie oświadczają, iż uznają, że wszystkie indywidualne umowy ubezpieczenia OC p.p.m. zawarte w ramach Umowy zostały rozwiązane ze skutkiem na ostatni dzień obowiązywania okresu rozliczeniowego pod warunkiem, kontynuacji ubezpieczenia u Ubezpieczyciela lub zawarciu umowy z innym zakładem ubezpieczeń. W takiej sytuacji druga rata składek określona w pkt. 3 nie będzie wymagalna.</w:t>
      </w:r>
    </w:p>
    <w:p w14:paraId="3183C89C" w14:textId="662C8740" w:rsidR="00977EC3" w:rsidRPr="0034594B" w:rsidRDefault="00977EC3" w:rsidP="00CD06CF">
      <w:pPr>
        <w:numPr>
          <w:ilvl w:val="1"/>
          <w:numId w:val="8"/>
        </w:numPr>
        <w:tabs>
          <w:tab w:val="clear" w:pos="1620"/>
        </w:tabs>
        <w:snapToGrid w:val="0"/>
        <w:spacing w:after="120" w:line="276" w:lineRule="auto"/>
        <w:ind w:left="709" w:hanging="425"/>
        <w:jc w:val="both"/>
        <w:rPr>
          <w:rFonts w:asciiTheme="minorHAnsi" w:hAnsiTheme="minorHAnsi" w:cstheme="minorHAnsi"/>
          <w:sz w:val="20"/>
          <w:szCs w:val="20"/>
        </w:rPr>
      </w:pPr>
      <w:r w:rsidRPr="0034594B">
        <w:rPr>
          <w:rFonts w:asciiTheme="minorHAnsi" w:hAnsiTheme="minorHAnsi" w:cstheme="minorHAnsi"/>
          <w:sz w:val="20"/>
          <w:szCs w:val="20"/>
        </w:rPr>
        <w:t xml:space="preserve">W przypadku przeniesienia ryzyka OC p.p.m. do innego zakładu ubezpieczeń, Ubezpieczający prześle do Ubezpieczyciela oświadczenia o zawarciu umów ubezpieczenia oraz zwróci Ubezpieczycielowi dokumenty potwierdzające zawarcie ubezpieczenia OC p.p.m. wystawione na wyrównany okres ubezpieczenia, w terminie 30 dni od daty wyrównania okresu ubezpieczenia. </w:t>
      </w:r>
    </w:p>
    <w:p w14:paraId="07964D67" w14:textId="567A418D" w:rsidR="00316A25" w:rsidRPr="0034594B" w:rsidRDefault="00977EC3" w:rsidP="00CD06CF">
      <w:pPr>
        <w:numPr>
          <w:ilvl w:val="1"/>
          <w:numId w:val="8"/>
        </w:numPr>
        <w:tabs>
          <w:tab w:val="clear" w:pos="1620"/>
        </w:tabs>
        <w:snapToGrid w:val="0"/>
        <w:spacing w:line="276" w:lineRule="auto"/>
        <w:ind w:left="709" w:hanging="425"/>
        <w:jc w:val="both"/>
        <w:rPr>
          <w:rFonts w:asciiTheme="minorHAnsi" w:hAnsiTheme="minorHAnsi" w:cstheme="minorHAnsi"/>
          <w:sz w:val="20"/>
          <w:szCs w:val="20"/>
        </w:rPr>
      </w:pPr>
      <w:r w:rsidRPr="0034594B">
        <w:rPr>
          <w:rFonts w:asciiTheme="minorHAnsi" w:hAnsiTheme="minorHAnsi" w:cstheme="minorHAnsi"/>
          <w:sz w:val="20"/>
          <w:szCs w:val="20"/>
        </w:rPr>
        <w:t>Wyrównanie okresu ubezpieczenia nie ma zastosowania w przypadku zbycia pojazdu przed wnioskowaną datą tegoż wyrównania.</w:t>
      </w:r>
    </w:p>
    <w:p w14:paraId="7D4EA522" w14:textId="5258798F" w:rsidR="00342203" w:rsidRDefault="00342203" w:rsidP="00CD06CF">
      <w:pPr>
        <w:snapToGrid w:val="0"/>
        <w:spacing w:line="276" w:lineRule="auto"/>
        <w:jc w:val="both"/>
        <w:rPr>
          <w:rFonts w:asciiTheme="minorHAnsi" w:hAnsiTheme="minorHAnsi" w:cstheme="minorHAnsi"/>
          <w:sz w:val="20"/>
          <w:szCs w:val="20"/>
        </w:rPr>
      </w:pPr>
    </w:p>
    <w:p w14:paraId="273C427C" w14:textId="77777777" w:rsidR="00342203" w:rsidRPr="0034594B" w:rsidRDefault="00342203" w:rsidP="00CD06CF">
      <w:pPr>
        <w:snapToGrid w:val="0"/>
        <w:spacing w:line="276" w:lineRule="auto"/>
        <w:jc w:val="both"/>
        <w:rPr>
          <w:rFonts w:asciiTheme="minorHAnsi" w:hAnsiTheme="minorHAnsi" w:cstheme="minorHAnsi"/>
          <w:sz w:val="20"/>
          <w:szCs w:val="20"/>
        </w:rPr>
      </w:pPr>
    </w:p>
    <w:p w14:paraId="7FF62991" w14:textId="2419642F" w:rsidR="006800E5" w:rsidRPr="0034594B" w:rsidRDefault="006800E5" w:rsidP="00CD06CF">
      <w:pPr>
        <w:spacing w:line="276" w:lineRule="auto"/>
        <w:jc w:val="center"/>
        <w:rPr>
          <w:rFonts w:asciiTheme="minorHAnsi" w:hAnsiTheme="minorHAnsi" w:cstheme="minorHAnsi"/>
          <w:b/>
          <w:bCs/>
          <w:i/>
          <w:sz w:val="20"/>
          <w:szCs w:val="20"/>
        </w:rPr>
      </w:pPr>
      <w:r w:rsidRPr="0034594B">
        <w:rPr>
          <w:rFonts w:asciiTheme="minorHAnsi" w:hAnsiTheme="minorHAnsi" w:cstheme="minorHAnsi"/>
          <w:b/>
          <w:bCs/>
          <w:i/>
          <w:sz w:val="20"/>
          <w:szCs w:val="20"/>
        </w:rPr>
        <w:t>§7</w:t>
      </w:r>
    </w:p>
    <w:p w14:paraId="68B9FAA8" w14:textId="5B2AB406" w:rsidR="006800E5" w:rsidRPr="0034594B" w:rsidRDefault="006800E5" w:rsidP="00CD06CF">
      <w:pPr>
        <w:spacing w:line="276" w:lineRule="auto"/>
        <w:jc w:val="center"/>
        <w:rPr>
          <w:rFonts w:asciiTheme="minorHAnsi" w:hAnsiTheme="minorHAnsi" w:cstheme="minorHAnsi"/>
          <w:b/>
          <w:bCs/>
          <w:i/>
          <w:sz w:val="20"/>
          <w:szCs w:val="20"/>
        </w:rPr>
      </w:pPr>
      <w:r w:rsidRPr="0034594B">
        <w:rPr>
          <w:rFonts w:asciiTheme="minorHAnsi" w:hAnsiTheme="minorHAnsi" w:cstheme="minorHAnsi"/>
          <w:b/>
          <w:bCs/>
          <w:i/>
          <w:sz w:val="20"/>
          <w:szCs w:val="20"/>
        </w:rPr>
        <w:t xml:space="preserve">Zasady likwidacji szkód </w:t>
      </w:r>
    </w:p>
    <w:p w14:paraId="104942D1" w14:textId="7D251C4A" w:rsidR="006800E5" w:rsidRPr="0034594B" w:rsidRDefault="006800E5" w:rsidP="00CD06CF">
      <w:pPr>
        <w:spacing w:line="276" w:lineRule="auto"/>
        <w:jc w:val="center"/>
        <w:rPr>
          <w:rFonts w:asciiTheme="minorHAnsi" w:hAnsiTheme="minorHAnsi" w:cstheme="minorHAnsi"/>
          <w:b/>
          <w:bCs/>
          <w:i/>
          <w:sz w:val="20"/>
          <w:szCs w:val="20"/>
        </w:rPr>
      </w:pPr>
    </w:p>
    <w:p w14:paraId="13BB2C16" w14:textId="4021E861" w:rsidR="006800E5" w:rsidRPr="0034594B" w:rsidRDefault="006800E5" w:rsidP="00342203">
      <w:pPr>
        <w:pStyle w:val="Akapitzlist"/>
        <w:numPr>
          <w:ilvl w:val="0"/>
          <w:numId w:val="21"/>
        </w:numPr>
        <w:snapToGrid w:val="0"/>
        <w:spacing w:after="120" w:line="276" w:lineRule="auto"/>
        <w:ind w:left="425" w:hanging="425"/>
        <w:contextualSpacing w:val="0"/>
        <w:jc w:val="both"/>
        <w:rPr>
          <w:rFonts w:asciiTheme="minorHAnsi" w:hAnsiTheme="minorHAnsi" w:cstheme="minorHAnsi"/>
          <w:b/>
          <w:bCs/>
          <w:i/>
          <w:sz w:val="20"/>
          <w:szCs w:val="20"/>
        </w:rPr>
      </w:pPr>
      <w:r w:rsidRPr="0034594B">
        <w:rPr>
          <w:rFonts w:asciiTheme="minorHAnsi" w:hAnsiTheme="minorHAnsi" w:cstheme="minorHAnsi"/>
          <w:sz w:val="20"/>
          <w:szCs w:val="20"/>
        </w:rPr>
        <w:t>Zgłoszenie szkody, przekazywanie dokumentacji, kosztorysów, akceptacja i inna korespondencja winna być prowadzona w formie pisemnej; dopuszcza się przekazywanie korespondencji faksem lub pocztą elektroniczną na uzgodnione numery faks albo adresy e-mail.</w:t>
      </w:r>
    </w:p>
    <w:p w14:paraId="6FDCAE4C" w14:textId="280D6074" w:rsidR="006800E5" w:rsidRPr="0034594B" w:rsidRDefault="006800E5" w:rsidP="00342203">
      <w:pPr>
        <w:pStyle w:val="Akapitzlist"/>
        <w:numPr>
          <w:ilvl w:val="0"/>
          <w:numId w:val="21"/>
        </w:numPr>
        <w:snapToGrid w:val="0"/>
        <w:spacing w:after="120" w:line="276" w:lineRule="auto"/>
        <w:ind w:left="425" w:hanging="425"/>
        <w:contextualSpacing w:val="0"/>
        <w:jc w:val="both"/>
        <w:rPr>
          <w:rFonts w:asciiTheme="minorHAnsi" w:hAnsiTheme="minorHAnsi" w:cstheme="minorHAnsi"/>
          <w:b/>
          <w:bCs/>
          <w:i/>
          <w:sz w:val="20"/>
          <w:szCs w:val="20"/>
        </w:rPr>
      </w:pPr>
      <w:r w:rsidRPr="0034594B">
        <w:rPr>
          <w:rFonts w:asciiTheme="minorHAnsi" w:hAnsiTheme="minorHAnsi" w:cstheme="minorHAnsi"/>
          <w:sz w:val="20"/>
          <w:szCs w:val="20"/>
        </w:rPr>
        <w:t>Szkody będą naprawiane przez wyspecjalizowane zakłady naprawcze</w:t>
      </w:r>
    </w:p>
    <w:p w14:paraId="243A13F7" w14:textId="066C70E8" w:rsidR="006800E5" w:rsidRPr="0034594B" w:rsidRDefault="006800E5" w:rsidP="00342203">
      <w:pPr>
        <w:pStyle w:val="Akapitzlist"/>
        <w:numPr>
          <w:ilvl w:val="0"/>
          <w:numId w:val="21"/>
        </w:numPr>
        <w:snapToGrid w:val="0"/>
        <w:spacing w:after="120" w:line="276" w:lineRule="auto"/>
        <w:ind w:left="425" w:hanging="425"/>
        <w:contextualSpacing w:val="0"/>
        <w:jc w:val="both"/>
        <w:rPr>
          <w:rFonts w:asciiTheme="minorHAnsi" w:hAnsiTheme="minorHAnsi" w:cstheme="minorHAnsi"/>
          <w:b/>
          <w:bCs/>
          <w:i/>
          <w:sz w:val="20"/>
          <w:szCs w:val="20"/>
        </w:rPr>
      </w:pPr>
      <w:r w:rsidRPr="0034594B">
        <w:rPr>
          <w:rFonts w:asciiTheme="minorHAnsi" w:hAnsiTheme="minorHAnsi" w:cstheme="minorHAnsi"/>
          <w:sz w:val="20"/>
          <w:szCs w:val="20"/>
        </w:rPr>
        <w:lastRenderedPageBreak/>
        <w:t>W wypadku szkody komunikacyjnej dokonanie przez ubezpieczyciela lub na jego zlecenie oględzin pojazdu w ciągu 3 dni roboczych od dnia skutecznego zgłoszenia szkody oraz przedstawienie kalkulacji kosztów naprawy w ciągu 2 dni roboczych od dnia dokonania oględzin. W razie niedokonania przez ubezpieczyciela lub na jego zlecenie oględzin w tym terminie, ubezpieczony ma prawo sam przekazać pojazd do warsztatu naprawczego, a ubezpieczycielowi dostarcza zdjęcia uszkodzonego pojazdu oraz kosztorys naprawy. Maksymalny termin akceptacji przez ubezpieczyciela kosztorysu, bez której warsztat nie może rozpocząć naprawy, wynosi 5 dni od jego skutecznego dostarczenia ubezpieczycielowi. Ubezpieczyciel wypłaca odszkodowanie na podstawie faktur lub kosztorysu.</w:t>
      </w:r>
    </w:p>
    <w:p w14:paraId="75458F5D" w14:textId="46DBC604" w:rsidR="006800E5" w:rsidRPr="0034594B" w:rsidRDefault="006800E5" w:rsidP="00342203">
      <w:pPr>
        <w:pStyle w:val="Akapitzlist"/>
        <w:numPr>
          <w:ilvl w:val="0"/>
          <w:numId w:val="21"/>
        </w:numPr>
        <w:snapToGrid w:val="0"/>
        <w:spacing w:after="120" w:line="276" w:lineRule="auto"/>
        <w:ind w:left="425" w:hanging="425"/>
        <w:contextualSpacing w:val="0"/>
        <w:jc w:val="both"/>
        <w:rPr>
          <w:rFonts w:asciiTheme="minorHAnsi" w:hAnsiTheme="minorHAnsi" w:cstheme="minorHAnsi"/>
          <w:b/>
          <w:bCs/>
          <w:i/>
          <w:sz w:val="20"/>
          <w:szCs w:val="20"/>
        </w:rPr>
      </w:pPr>
      <w:r w:rsidRPr="0034594B">
        <w:rPr>
          <w:rFonts w:asciiTheme="minorHAnsi" w:hAnsiTheme="minorHAnsi" w:cstheme="minorHAnsi"/>
          <w:sz w:val="20"/>
          <w:szCs w:val="20"/>
        </w:rPr>
        <w:t>W przypadku roszczeń kierowanych do ubezpieczającego/ubezpieczonego z zakresu odpowiedzialności cywilnej posiadaczy pojazdów mechanicznych ubezpieczyciel zobligowany jest zasięgnąć opinii ubezpieczającego/ubezpieczonego w kwestii uznania przez niego odpowiedzialności za zaistniały wypadek ubezpieczeniowy.</w:t>
      </w:r>
    </w:p>
    <w:p w14:paraId="78486602" w14:textId="063810A8" w:rsidR="006800E5" w:rsidRPr="0034594B" w:rsidRDefault="0034594B" w:rsidP="00342203">
      <w:pPr>
        <w:pStyle w:val="Akapitzlist"/>
        <w:numPr>
          <w:ilvl w:val="0"/>
          <w:numId w:val="21"/>
        </w:numPr>
        <w:snapToGrid w:val="0"/>
        <w:spacing w:after="120" w:line="276" w:lineRule="auto"/>
        <w:ind w:left="425" w:hanging="425"/>
        <w:contextualSpacing w:val="0"/>
        <w:jc w:val="both"/>
        <w:rPr>
          <w:rFonts w:asciiTheme="minorHAnsi" w:hAnsiTheme="minorHAnsi" w:cstheme="minorHAnsi"/>
          <w:b/>
          <w:bCs/>
          <w:i/>
          <w:sz w:val="20"/>
          <w:szCs w:val="20"/>
        </w:rPr>
      </w:pPr>
      <w:r w:rsidRPr="0034594B">
        <w:rPr>
          <w:rFonts w:asciiTheme="minorHAnsi" w:hAnsiTheme="minorHAnsi" w:cstheme="minorHAnsi"/>
          <w:sz w:val="20"/>
          <w:szCs w:val="20"/>
        </w:rPr>
        <w:t>Zniesiona zostaje konsumpcja sumy ubezpieczenia w związku z wypłaconym odszkodowaniem.</w:t>
      </w:r>
    </w:p>
    <w:p w14:paraId="2FE3BD8C" w14:textId="4C205FB0" w:rsidR="0034594B" w:rsidRPr="0034594B" w:rsidRDefault="0034594B" w:rsidP="00342203">
      <w:pPr>
        <w:pStyle w:val="Akapitzlist"/>
        <w:numPr>
          <w:ilvl w:val="0"/>
          <w:numId w:val="21"/>
        </w:numPr>
        <w:snapToGrid w:val="0"/>
        <w:spacing w:after="120" w:line="276" w:lineRule="auto"/>
        <w:ind w:left="425" w:hanging="425"/>
        <w:contextualSpacing w:val="0"/>
        <w:jc w:val="both"/>
        <w:rPr>
          <w:rFonts w:asciiTheme="minorHAnsi" w:hAnsiTheme="minorHAnsi" w:cstheme="minorHAnsi"/>
          <w:b/>
          <w:bCs/>
          <w:i/>
          <w:sz w:val="20"/>
          <w:szCs w:val="20"/>
        </w:rPr>
      </w:pPr>
      <w:r w:rsidRPr="0034594B">
        <w:rPr>
          <w:rFonts w:asciiTheme="minorHAnsi" w:hAnsiTheme="minorHAnsi" w:cstheme="minorHAnsi"/>
          <w:sz w:val="20"/>
          <w:szCs w:val="20"/>
        </w:rPr>
        <w:t>Przy ustalaniu kwoty odszkodowania nie będą stosowane potrącenia z tytułu zużycia części zakwalifikowanych do naprawy, w tym nadwozia i kabiny pojazdu (zniesienie amortyzacji części zamiennych i urealnienia części – do kalkulacji naprawy będą przyjmowane ceny części nowych, zalecanych przez producenta danego typu pojazdu). Kalkulację naprawy każdorazowo będzie przedstawiał ubezpieczony na podstawie wyceny serwisowej.</w:t>
      </w:r>
    </w:p>
    <w:p w14:paraId="1103B895" w14:textId="196B1F08" w:rsidR="0034594B" w:rsidRPr="0034594B" w:rsidRDefault="0034594B" w:rsidP="00342203">
      <w:pPr>
        <w:pStyle w:val="Akapitzlist"/>
        <w:numPr>
          <w:ilvl w:val="0"/>
          <w:numId w:val="21"/>
        </w:numPr>
        <w:snapToGrid w:val="0"/>
        <w:spacing w:after="120" w:line="276" w:lineRule="auto"/>
        <w:ind w:left="425" w:hanging="425"/>
        <w:contextualSpacing w:val="0"/>
        <w:jc w:val="both"/>
        <w:rPr>
          <w:rFonts w:asciiTheme="minorHAnsi" w:hAnsiTheme="minorHAnsi" w:cstheme="minorHAnsi"/>
          <w:b/>
          <w:bCs/>
          <w:i/>
          <w:sz w:val="20"/>
          <w:szCs w:val="20"/>
        </w:rPr>
      </w:pPr>
      <w:r w:rsidRPr="0034594B">
        <w:rPr>
          <w:rFonts w:asciiTheme="minorHAnsi" w:hAnsiTheme="minorHAnsi" w:cstheme="minorHAnsi"/>
          <w:sz w:val="20"/>
          <w:szCs w:val="20"/>
        </w:rPr>
        <w:t>Przy ustaleniu odszkodowania za szkody powstałe w ogumieniu, akumulatorze, elementach ciernych układu hamulcowego (klocki, szczęki, tarcze, bębny), elementach ciernych układu sprzęgła (tarcza, docisk), elementach układu wydechowego (tłumiki, katalizatory i rury łączące te elementy) uwzględnia się indywidualnie stopień ich zużycia eksploatacyjnego.</w:t>
      </w:r>
    </w:p>
    <w:p w14:paraId="3D923F09" w14:textId="7B0F9F73" w:rsidR="0034594B" w:rsidRPr="0034594B" w:rsidRDefault="0034594B" w:rsidP="00342203">
      <w:pPr>
        <w:pStyle w:val="Akapitzlist"/>
        <w:numPr>
          <w:ilvl w:val="0"/>
          <w:numId w:val="21"/>
        </w:numPr>
        <w:snapToGrid w:val="0"/>
        <w:spacing w:after="120" w:line="276" w:lineRule="auto"/>
        <w:ind w:left="425" w:hanging="425"/>
        <w:contextualSpacing w:val="0"/>
        <w:jc w:val="both"/>
        <w:rPr>
          <w:rFonts w:asciiTheme="minorHAnsi" w:hAnsiTheme="minorHAnsi" w:cstheme="minorHAnsi"/>
          <w:b/>
          <w:bCs/>
          <w:i/>
          <w:sz w:val="20"/>
          <w:szCs w:val="20"/>
        </w:rPr>
      </w:pPr>
      <w:r w:rsidRPr="0034594B">
        <w:rPr>
          <w:rFonts w:asciiTheme="minorHAnsi" w:hAnsiTheme="minorHAnsi" w:cstheme="minorHAnsi"/>
          <w:sz w:val="20"/>
          <w:szCs w:val="20"/>
        </w:rPr>
        <w:t>Przy ustalaniu kwoty odszkodowania nie będą miały zastosowania ustalone w OWU ubezpieczyciela ograniczenia, udziały własne bądź inne redukcje odszkodowania z tytułu wieku kierowcy oraz w przypadku popełnienia przez kierującego pojazdem wykroczenia drogowego, takiego jak: wymuszenie pierwszeństwa przejazdu, wyprzedzanie w miejscu niedozwolonym, wjazd na skrzyżowanie przy czerwonym świetle, przekroczenie dozwolonej prędkości, rozmowa  kierującego w czasie jazdy przez telefon komórkowy, nieprzestrzeganie znaków drogowych STOP, zakaz ruchu, zakaz wjazdu, zakaz zatrzymywania się i postoju.</w:t>
      </w:r>
    </w:p>
    <w:p w14:paraId="21650760" w14:textId="1D766F27" w:rsidR="0034594B" w:rsidRPr="0034594B" w:rsidRDefault="0034594B" w:rsidP="00342203">
      <w:pPr>
        <w:pStyle w:val="Akapitzlist"/>
        <w:numPr>
          <w:ilvl w:val="0"/>
          <w:numId w:val="21"/>
        </w:numPr>
        <w:snapToGrid w:val="0"/>
        <w:spacing w:after="120" w:line="276" w:lineRule="auto"/>
        <w:ind w:left="425" w:hanging="425"/>
        <w:contextualSpacing w:val="0"/>
        <w:jc w:val="both"/>
        <w:rPr>
          <w:rFonts w:asciiTheme="minorHAnsi" w:hAnsiTheme="minorHAnsi" w:cstheme="minorHAnsi"/>
          <w:b/>
          <w:bCs/>
          <w:i/>
          <w:sz w:val="20"/>
          <w:szCs w:val="20"/>
        </w:rPr>
      </w:pPr>
      <w:r w:rsidRPr="0034594B">
        <w:rPr>
          <w:rFonts w:asciiTheme="minorHAnsi" w:hAnsiTheme="minorHAnsi" w:cstheme="minorHAnsi"/>
          <w:sz w:val="20"/>
          <w:szCs w:val="20"/>
        </w:rPr>
        <w:t>W przypadku utraty pojazdu wskutek rabunku (rozboju) ubezpieczający/ubezpieczony jest zwolniony z obowiązku dostarczenia ubezpieczycielowi dokumentów pojazdu oraz kompletu kluczyków, jeżeli je utracił w wyniku takiego zdarzenia.</w:t>
      </w:r>
    </w:p>
    <w:p w14:paraId="6392E2B0" w14:textId="582D3E92" w:rsidR="0034594B" w:rsidRPr="0034594B" w:rsidRDefault="0034594B" w:rsidP="00342203">
      <w:pPr>
        <w:pStyle w:val="Akapitzlist"/>
        <w:numPr>
          <w:ilvl w:val="0"/>
          <w:numId w:val="21"/>
        </w:numPr>
        <w:snapToGrid w:val="0"/>
        <w:spacing w:after="120" w:line="276" w:lineRule="auto"/>
        <w:ind w:left="425" w:hanging="425"/>
        <w:contextualSpacing w:val="0"/>
        <w:jc w:val="both"/>
        <w:rPr>
          <w:rFonts w:asciiTheme="minorHAnsi" w:hAnsiTheme="minorHAnsi" w:cstheme="minorHAnsi"/>
          <w:b/>
          <w:bCs/>
          <w:i/>
          <w:sz w:val="20"/>
          <w:szCs w:val="20"/>
        </w:rPr>
      </w:pPr>
      <w:r w:rsidRPr="0034594B">
        <w:rPr>
          <w:rFonts w:asciiTheme="minorHAnsi" w:hAnsiTheme="minorHAnsi" w:cstheme="minorHAnsi"/>
          <w:sz w:val="20"/>
          <w:szCs w:val="20"/>
        </w:rPr>
        <w:t>Szkody w pojazdach ubezpieczającego (ubezpieczonego, użytkownika) spowodowane przez zidentyfikowanych sprawców mogą być wstępnie likwidowane z ubezpieczenia auto casco.</w:t>
      </w:r>
    </w:p>
    <w:p w14:paraId="5AC63FAE" w14:textId="4ACE5971" w:rsidR="0034594B" w:rsidRPr="0034594B" w:rsidRDefault="0034594B" w:rsidP="00342203">
      <w:pPr>
        <w:pStyle w:val="Akapitzlist"/>
        <w:numPr>
          <w:ilvl w:val="0"/>
          <w:numId w:val="21"/>
        </w:numPr>
        <w:snapToGrid w:val="0"/>
        <w:spacing w:after="120" w:line="276" w:lineRule="auto"/>
        <w:ind w:left="425" w:hanging="425"/>
        <w:contextualSpacing w:val="0"/>
        <w:jc w:val="both"/>
        <w:rPr>
          <w:rFonts w:asciiTheme="minorHAnsi" w:hAnsiTheme="minorHAnsi" w:cstheme="minorHAnsi"/>
          <w:b/>
          <w:bCs/>
          <w:i/>
          <w:sz w:val="20"/>
          <w:szCs w:val="20"/>
        </w:rPr>
      </w:pPr>
      <w:r w:rsidRPr="0034594B">
        <w:rPr>
          <w:rFonts w:asciiTheme="minorHAnsi" w:hAnsiTheme="minorHAnsi" w:cstheme="minorHAnsi"/>
          <w:sz w:val="20"/>
          <w:szCs w:val="20"/>
        </w:rPr>
        <w:t>Odszkodowanie wypłacane jest z podatkiem VAT, także w przypadku kosztorysowego wyliczenia wysokości odszkodowania. W przypadku zadeklarowania przez Ubezpieczającego w umowie ubezpieczenia sumy ubezpieczenia netto odszkodowanie wypłacane będzie bez uwzględniania podatku VAT. W przypadku zadeklarowania przez Ubezpieczającego w umowie ubezpieczenia sumy ubezpieczenia netto + 50% VAT odszkodowanie wypłacane będzie z uwzględnieniem 50% podatku VAT.</w:t>
      </w:r>
    </w:p>
    <w:p w14:paraId="694A212F" w14:textId="57378D77" w:rsidR="0034594B" w:rsidRPr="0034594B" w:rsidRDefault="0034594B" w:rsidP="00342203">
      <w:pPr>
        <w:pStyle w:val="Akapitzlist"/>
        <w:numPr>
          <w:ilvl w:val="0"/>
          <w:numId w:val="21"/>
        </w:numPr>
        <w:spacing w:line="276" w:lineRule="auto"/>
        <w:ind w:left="426" w:hanging="425"/>
        <w:jc w:val="both"/>
        <w:rPr>
          <w:rFonts w:asciiTheme="minorHAnsi" w:hAnsiTheme="minorHAnsi" w:cstheme="minorHAnsi"/>
          <w:b/>
          <w:bCs/>
          <w:i/>
          <w:sz w:val="20"/>
          <w:szCs w:val="20"/>
        </w:rPr>
      </w:pPr>
      <w:r w:rsidRPr="0034594B">
        <w:rPr>
          <w:rFonts w:asciiTheme="minorHAnsi" w:eastAsia="Calibri" w:hAnsiTheme="minorHAnsi" w:cstheme="minorHAnsi"/>
          <w:sz w:val="20"/>
          <w:szCs w:val="20"/>
        </w:rPr>
        <w:t xml:space="preserve">W przypadku szkód polegających na uszkodzeniu lub kradzieży części pojazdu do wartości 5.000,00 PLN, ubezpieczyciel zezwoli na dokonanie naprawy bez oględzin (procedura uproszczona), pod warunkiem zgłoszenia szkody ubezpieczycielowi przez ubezpieczającego, ubezpieczonego lub użytkownika  </w:t>
      </w:r>
      <w:r w:rsidRPr="0034594B">
        <w:rPr>
          <w:rFonts w:asciiTheme="minorHAnsi" w:hAnsiTheme="minorHAnsi" w:cstheme="minorHAnsi"/>
          <w:sz w:val="20"/>
          <w:szCs w:val="20"/>
        </w:rPr>
        <w:t>przy jednoczesnym zabezpieczeniu danych umożliwiających weryfikację rodzaju i rozmiaru szkody (pisemny protokół z miejsca zdarzenia opisujący przypuszczalne jego przyczyny oraz rodzaj i rozmiar szkody, a także dokumentacja fotograficzna)</w:t>
      </w:r>
      <w:r w:rsidRPr="0034594B">
        <w:rPr>
          <w:rFonts w:asciiTheme="minorHAnsi" w:eastAsia="Calibri" w:hAnsiTheme="minorHAnsi" w:cstheme="minorHAnsi"/>
          <w:sz w:val="20"/>
          <w:szCs w:val="20"/>
        </w:rPr>
        <w:t xml:space="preserve">. Rozpoczęcie naprawy pojazdu będzie możliwe po uzyskaniu decyzji potwierdzającej odpowiedzialność ubezpieczyciela, która będzie wydana nie później niż w ciągu 3 dni od zgłoszenia szkody.  </w:t>
      </w:r>
      <w:r w:rsidRPr="0034594B">
        <w:rPr>
          <w:rFonts w:asciiTheme="minorHAnsi" w:eastAsia="Calibri" w:hAnsiTheme="minorHAnsi" w:cstheme="minorHAnsi"/>
          <w:sz w:val="20"/>
          <w:szCs w:val="20"/>
          <w:lang w:eastAsia="ar-SA"/>
        </w:rPr>
        <w:lastRenderedPageBreak/>
        <w:t>W przypadku podejrzenia, iż szkoda jest konsekwencją popełnienia czynu zabronionego ubezpieczający powiadomi niezwłocznie policję, nie później niż w ciągu 24 godzin.</w:t>
      </w:r>
    </w:p>
    <w:p w14:paraId="78E27E6F" w14:textId="77777777" w:rsidR="006800E5" w:rsidRPr="0034594B" w:rsidRDefault="006800E5" w:rsidP="00CD06CF">
      <w:pPr>
        <w:spacing w:line="276" w:lineRule="auto"/>
        <w:jc w:val="center"/>
        <w:rPr>
          <w:rFonts w:asciiTheme="minorHAnsi" w:hAnsiTheme="minorHAnsi" w:cstheme="minorHAnsi"/>
          <w:b/>
          <w:bCs/>
          <w:i/>
          <w:sz w:val="20"/>
          <w:szCs w:val="20"/>
        </w:rPr>
      </w:pPr>
    </w:p>
    <w:p w14:paraId="22A086DD" w14:textId="77777777" w:rsidR="006800E5" w:rsidRPr="0034594B" w:rsidRDefault="006800E5" w:rsidP="00CD06CF">
      <w:pPr>
        <w:spacing w:line="276" w:lineRule="auto"/>
        <w:jc w:val="center"/>
        <w:rPr>
          <w:rFonts w:asciiTheme="minorHAnsi" w:hAnsiTheme="minorHAnsi" w:cstheme="minorHAnsi"/>
          <w:b/>
          <w:bCs/>
          <w:i/>
          <w:sz w:val="20"/>
          <w:szCs w:val="20"/>
        </w:rPr>
      </w:pPr>
    </w:p>
    <w:p w14:paraId="6ED0C718" w14:textId="77777777" w:rsidR="00677FDA" w:rsidRPr="0034594B" w:rsidRDefault="00677FDA" w:rsidP="00CD06CF">
      <w:pPr>
        <w:snapToGrid w:val="0"/>
        <w:spacing w:line="276" w:lineRule="auto"/>
        <w:rPr>
          <w:rFonts w:asciiTheme="minorHAnsi" w:hAnsiTheme="minorHAnsi" w:cstheme="minorHAnsi"/>
          <w:sz w:val="20"/>
          <w:szCs w:val="20"/>
        </w:rPr>
      </w:pPr>
    </w:p>
    <w:sectPr w:rsidR="00677FDA" w:rsidRPr="00345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346CF"/>
    <w:multiLevelType w:val="multilevel"/>
    <w:tmpl w:val="1FE04D7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b w:val="0"/>
        <w:bCs/>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15:restartNumberingAfterBreak="0">
    <w:nsid w:val="147A3117"/>
    <w:multiLevelType w:val="multilevel"/>
    <w:tmpl w:val="37DA1ABE"/>
    <w:lvl w:ilvl="0">
      <w:numFmt w:val="none"/>
      <w:lvlText w:val="4.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A81BB0"/>
    <w:multiLevelType w:val="hybridMultilevel"/>
    <w:tmpl w:val="FAD0B4B4"/>
    <w:lvl w:ilvl="0" w:tplc="E304C7C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264DA8"/>
    <w:multiLevelType w:val="singleLevel"/>
    <w:tmpl w:val="04150017"/>
    <w:lvl w:ilvl="0">
      <w:start w:val="1"/>
      <w:numFmt w:val="lowerLetter"/>
      <w:lvlText w:val="%1)"/>
      <w:lvlJc w:val="left"/>
      <w:pPr>
        <w:ind w:left="720" w:hanging="360"/>
      </w:pPr>
      <w:rPr>
        <w:rFonts w:hint="default"/>
      </w:rPr>
    </w:lvl>
  </w:abstractNum>
  <w:abstractNum w:abstractNumId="4" w15:restartNumberingAfterBreak="0">
    <w:nsid w:val="1FEE1C0E"/>
    <w:multiLevelType w:val="multilevel"/>
    <w:tmpl w:val="D8D064C6"/>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440"/>
        </w:tabs>
        <w:ind w:left="1440" w:hanging="720"/>
      </w:pPr>
      <w:rPr>
        <w:rFonts w:hint="default"/>
        <w:b w:val="0"/>
        <w:bCs/>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2D3765C1"/>
    <w:multiLevelType w:val="multilevel"/>
    <w:tmpl w:val="6A166A7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6AC2967"/>
    <w:multiLevelType w:val="multilevel"/>
    <w:tmpl w:val="DB04AF24"/>
    <w:lvl w:ilvl="0">
      <w:start w:val="5"/>
      <w:numFmt w:val="decimal"/>
      <w:lvlText w:val="%1."/>
      <w:lvlJc w:val="left"/>
      <w:pPr>
        <w:tabs>
          <w:tab w:val="num" w:pos="390"/>
        </w:tabs>
        <w:ind w:left="390" w:hanging="390"/>
      </w:pPr>
      <w:rPr>
        <w:rFonts w:hint="default"/>
        <w:b/>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7" w15:restartNumberingAfterBreak="0">
    <w:nsid w:val="38B23704"/>
    <w:multiLevelType w:val="hybridMultilevel"/>
    <w:tmpl w:val="E54E7866"/>
    <w:lvl w:ilvl="0" w:tplc="50CAE0F2">
      <w:start w:val="1"/>
      <w:numFmt w:val="bullet"/>
      <w:lvlText w:val=""/>
      <w:lvlJc w:val="left"/>
      <w:pPr>
        <w:ind w:left="2340" w:hanging="360"/>
      </w:pPr>
      <w:rPr>
        <w:rFonts w:ascii="Symbol" w:hAnsi="Symbol" w:hint="default"/>
        <w:sz w:val="14"/>
        <w:szCs w:val="14"/>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8" w15:restartNumberingAfterBreak="0">
    <w:nsid w:val="3C42763B"/>
    <w:multiLevelType w:val="multilevel"/>
    <w:tmpl w:val="00DC397A"/>
    <w:lvl w:ilvl="0">
      <w:start w:val="1"/>
      <w:numFmt w:val="none"/>
      <w:lvlText w:val="4.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42F74531"/>
    <w:multiLevelType w:val="hybridMultilevel"/>
    <w:tmpl w:val="645A6CE6"/>
    <w:lvl w:ilvl="0" w:tplc="CDF01DB0">
      <w:start w:val="1"/>
      <w:numFmt w:val="decimal"/>
      <w:lvlText w:val="2.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476533"/>
    <w:multiLevelType w:val="multilevel"/>
    <w:tmpl w:val="E8545E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9515B49"/>
    <w:multiLevelType w:val="multilevel"/>
    <w:tmpl w:val="DB04AF24"/>
    <w:lvl w:ilvl="0">
      <w:start w:val="5"/>
      <w:numFmt w:val="decimal"/>
      <w:lvlText w:val="%1."/>
      <w:lvlJc w:val="left"/>
      <w:pPr>
        <w:tabs>
          <w:tab w:val="num" w:pos="390"/>
        </w:tabs>
        <w:ind w:left="390" w:hanging="390"/>
      </w:pPr>
      <w:rPr>
        <w:rFonts w:hint="default"/>
        <w:b/>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12" w15:restartNumberingAfterBreak="0">
    <w:nsid w:val="4F4D0AB4"/>
    <w:multiLevelType w:val="multilevel"/>
    <w:tmpl w:val="D7B61C72"/>
    <w:lvl w:ilvl="0">
      <w:start w:val="2"/>
      <w:numFmt w:val="decimal"/>
      <w:lvlText w:val="2.%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15:restartNumberingAfterBreak="0">
    <w:nsid w:val="58CD7F54"/>
    <w:multiLevelType w:val="multilevel"/>
    <w:tmpl w:val="D690EAB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5A802238"/>
    <w:multiLevelType w:val="multilevel"/>
    <w:tmpl w:val="35A68104"/>
    <w:lvl w:ilvl="0">
      <w:start w:val="1"/>
      <w:numFmt w:val="decimal"/>
      <w:lvlText w:val="%1."/>
      <w:lvlJc w:val="left"/>
      <w:pPr>
        <w:tabs>
          <w:tab w:val="num" w:pos="482"/>
        </w:tabs>
        <w:ind w:left="482" w:hanging="340"/>
      </w:pPr>
      <w:rPr>
        <w:rFonts w:hint="default"/>
        <w:b/>
        <w:color w:val="auto"/>
        <w:sz w:val="20"/>
        <w:szCs w:val="20"/>
      </w:rPr>
    </w:lvl>
    <w:lvl w:ilvl="1">
      <w:start w:val="1"/>
      <w:numFmt w:val="decimal"/>
      <w:lvlText w:val="%2."/>
      <w:lvlJc w:val="left"/>
      <w:pPr>
        <w:tabs>
          <w:tab w:val="num" w:pos="709"/>
        </w:tabs>
        <w:ind w:left="709" w:hanging="567"/>
      </w:pPr>
      <w:rPr>
        <w:rFonts w:ascii="Arial" w:eastAsia="Times New Roman" w:hAnsi="Arial" w:cs="Arial" w:hint="default"/>
        <w:b w:val="0"/>
        <w:i w:val="0"/>
        <w:color w:val="auto"/>
        <w:sz w:val="20"/>
        <w:szCs w:val="20"/>
      </w:rPr>
    </w:lvl>
    <w:lvl w:ilvl="2">
      <w:start w:val="1"/>
      <w:numFmt w:val="decimal"/>
      <w:lvlText w:val="%1.%2.%3."/>
      <w:lvlJc w:val="left"/>
      <w:pPr>
        <w:tabs>
          <w:tab w:val="num" w:pos="1685"/>
        </w:tabs>
        <w:ind w:left="1685" w:hanging="425"/>
      </w:pPr>
      <w:rPr>
        <w:rFonts w:ascii="Verdana" w:hAnsi="Verdana" w:hint="default"/>
        <w:b w:val="0"/>
        <w:color w:val="auto"/>
        <w:sz w:val="18"/>
        <w:szCs w:val="18"/>
      </w:rPr>
    </w:lvl>
    <w:lvl w:ilvl="3">
      <w:numFmt w:val="none"/>
      <w:lvlText w:val=""/>
      <w:lvlJc w:val="left"/>
      <w:pPr>
        <w:tabs>
          <w:tab w:val="num" w:pos="360"/>
        </w:tabs>
      </w:p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5B411346"/>
    <w:multiLevelType w:val="multilevel"/>
    <w:tmpl w:val="82324E5C"/>
    <w:lvl w:ilvl="0">
      <w:start w:val="1"/>
      <w:numFmt w:val="decimal"/>
      <w:lvlText w:val="%1."/>
      <w:lvlJc w:val="left"/>
      <w:pPr>
        <w:ind w:left="390" w:hanging="390"/>
      </w:pPr>
      <w:rPr>
        <w:rFonts w:hint="default"/>
        <w:b/>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16" w15:restartNumberingAfterBreak="0">
    <w:nsid w:val="5E1B6FF0"/>
    <w:multiLevelType w:val="multilevel"/>
    <w:tmpl w:val="07CEA446"/>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640B39B4"/>
    <w:multiLevelType w:val="multilevel"/>
    <w:tmpl w:val="4F468DAE"/>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18" w15:restartNumberingAfterBreak="0">
    <w:nsid w:val="65070A98"/>
    <w:multiLevelType w:val="hybridMultilevel"/>
    <w:tmpl w:val="1756BA86"/>
    <w:lvl w:ilvl="0" w:tplc="04150001">
      <w:start w:val="1"/>
      <w:numFmt w:val="bullet"/>
      <w:lvlText w:val=""/>
      <w:lvlJc w:val="left"/>
      <w:pPr>
        <w:ind w:left="1110" w:hanging="360"/>
      </w:pPr>
      <w:rPr>
        <w:rFonts w:ascii="Symbol" w:hAnsi="Symbol" w:hint="default"/>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19" w15:restartNumberingAfterBreak="0">
    <w:nsid w:val="6D52275A"/>
    <w:multiLevelType w:val="multilevel"/>
    <w:tmpl w:val="F22E7A02"/>
    <w:lvl w:ilvl="0">
      <w:start w:val="2"/>
      <w:numFmt w:val="decimal"/>
      <w:lvlText w:val="%1.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15:restartNumberingAfterBreak="0">
    <w:nsid w:val="7B611666"/>
    <w:multiLevelType w:val="hybridMultilevel"/>
    <w:tmpl w:val="A35A2908"/>
    <w:lvl w:ilvl="0" w:tplc="2FDC50F0">
      <w:start w:val="1"/>
      <w:numFmt w:val="decimal"/>
      <w:lvlText w:val="2.%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
  </w:num>
  <w:num w:numId="2">
    <w:abstractNumId w:val="14"/>
  </w:num>
  <w:num w:numId="3">
    <w:abstractNumId w:val="4"/>
  </w:num>
  <w:num w:numId="4">
    <w:abstractNumId w:val="6"/>
  </w:num>
  <w:num w:numId="5">
    <w:abstractNumId w:val="16"/>
  </w:num>
  <w:num w:numId="6">
    <w:abstractNumId w:val="13"/>
  </w:num>
  <w:num w:numId="7">
    <w:abstractNumId w:val="0"/>
  </w:num>
  <w:num w:numId="8">
    <w:abstractNumId w:val="17"/>
  </w:num>
  <w:num w:numId="9">
    <w:abstractNumId w:val="18"/>
  </w:num>
  <w:num w:numId="10">
    <w:abstractNumId w:val="7"/>
  </w:num>
  <w:num w:numId="11">
    <w:abstractNumId w:val="15"/>
  </w:num>
  <w:num w:numId="12">
    <w:abstractNumId w:val="11"/>
  </w:num>
  <w:num w:numId="13">
    <w:abstractNumId w:val="20"/>
  </w:num>
  <w:num w:numId="14">
    <w:abstractNumId w:val="8"/>
  </w:num>
  <w:num w:numId="15">
    <w:abstractNumId w:val="19"/>
  </w:num>
  <w:num w:numId="16">
    <w:abstractNumId w:val="12"/>
  </w:num>
  <w:num w:numId="17">
    <w:abstractNumId w:val="9"/>
  </w:num>
  <w:num w:numId="18">
    <w:abstractNumId w:val="1"/>
  </w:num>
  <w:num w:numId="19">
    <w:abstractNumId w:val="10"/>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72C"/>
    <w:rsid w:val="0000063F"/>
    <w:rsid w:val="00000CF1"/>
    <w:rsid w:val="00001195"/>
    <w:rsid w:val="00003E6A"/>
    <w:rsid w:val="00005034"/>
    <w:rsid w:val="0001365A"/>
    <w:rsid w:val="000200AB"/>
    <w:rsid w:val="0002434B"/>
    <w:rsid w:val="00025FDB"/>
    <w:rsid w:val="00026803"/>
    <w:rsid w:val="000314B6"/>
    <w:rsid w:val="000319FF"/>
    <w:rsid w:val="00035137"/>
    <w:rsid w:val="0003560F"/>
    <w:rsid w:val="00036D20"/>
    <w:rsid w:val="000376F9"/>
    <w:rsid w:val="0004619E"/>
    <w:rsid w:val="00047FB4"/>
    <w:rsid w:val="000515FA"/>
    <w:rsid w:val="000523C7"/>
    <w:rsid w:val="000524F4"/>
    <w:rsid w:val="000538B5"/>
    <w:rsid w:val="0005482A"/>
    <w:rsid w:val="00055D98"/>
    <w:rsid w:val="000569A0"/>
    <w:rsid w:val="00056E0D"/>
    <w:rsid w:val="00057182"/>
    <w:rsid w:val="000627FD"/>
    <w:rsid w:val="0006510B"/>
    <w:rsid w:val="00067784"/>
    <w:rsid w:val="00070604"/>
    <w:rsid w:val="000733A7"/>
    <w:rsid w:val="00077019"/>
    <w:rsid w:val="000774E1"/>
    <w:rsid w:val="00081B01"/>
    <w:rsid w:val="00081F1D"/>
    <w:rsid w:val="00084AEE"/>
    <w:rsid w:val="000902D9"/>
    <w:rsid w:val="00090E12"/>
    <w:rsid w:val="000A342F"/>
    <w:rsid w:val="000A409B"/>
    <w:rsid w:val="000A5A72"/>
    <w:rsid w:val="000A5AF3"/>
    <w:rsid w:val="000A5B5D"/>
    <w:rsid w:val="000B12D8"/>
    <w:rsid w:val="000B3931"/>
    <w:rsid w:val="000B5A3F"/>
    <w:rsid w:val="000B5C8D"/>
    <w:rsid w:val="000C1783"/>
    <w:rsid w:val="000C270B"/>
    <w:rsid w:val="000C2E29"/>
    <w:rsid w:val="000C70BD"/>
    <w:rsid w:val="000D0AF5"/>
    <w:rsid w:val="000E031E"/>
    <w:rsid w:val="000E0D45"/>
    <w:rsid w:val="000E3D31"/>
    <w:rsid w:val="000E41D2"/>
    <w:rsid w:val="000E4277"/>
    <w:rsid w:val="000E61AD"/>
    <w:rsid w:val="000F1414"/>
    <w:rsid w:val="000F460D"/>
    <w:rsid w:val="000F4DD9"/>
    <w:rsid w:val="000F64AD"/>
    <w:rsid w:val="000F74CF"/>
    <w:rsid w:val="001007C5"/>
    <w:rsid w:val="001063F9"/>
    <w:rsid w:val="00106E09"/>
    <w:rsid w:val="00116755"/>
    <w:rsid w:val="00120FD2"/>
    <w:rsid w:val="001213CD"/>
    <w:rsid w:val="001234EA"/>
    <w:rsid w:val="00125970"/>
    <w:rsid w:val="00125981"/>
    <w:rsid w:val="0013147A"/>
    <w:rsid w:val="00132D2C"/>
    <w:rsid w:val="0013470D"/>
    <w:rsid w:val="0014091D"/>
    <w:rsid w:val="00145797"/>
    <w:rsid w:val="001463AF"/>
    <w:rsid w:val="00147575"/>
    <w:rsid w:val="00152DAB"/>
    <w:rsid w:val="0015741A"/>
    <w:rsid w:val="00160337"/>
    <w:rsid w:val="00161104"/>
    <w:rsid w:val="001623A3"/>
    <w:rsid w:val="0016426F"/>
    <w:rsid w:val="00164BE9"/>
    <w:rsid w:val="001669C2"/>
    <w:rsid w:val="001709B1"/>
    <w:rsid w:val="00172BD0"/>
    <w:rsid w:val="00174AAE"/>
    <w:rsid w:val="00177BB1"/>
    <w:rsid w:val="00182C44"/>
    <w:rsid w:val="00183CFE"/>
    <w:rsid w:val="00185F15"/>
    <w:rsid w:val="00187B15"/>
    <w:rsid w:val="00192707"/>
    <w:rsid w:val="00192AB9"/>
    <w:rsid w:val="00193A28"/>
    <w:rsid w:val="0019416C"/>
    <w:rsid w:val="00197D97"/>
    <w:rsid w:val="001A0DB7"/>
    <w:rsid w:val="001A148A"/>
    <w:rsid w:val="001A498B"/>
    <w:rsid w:val="001B156F"/>
    <w:rsid w:val="001B2EE9"/>
    <w:rsid w:val="001B6607"/>
    <w:rsid w:val="001C0E57"/>
    <w:rsid w:val="001C0F74"/>
    <w:rsid w:val="001C30B5"/>
    <w:rsid w:val="001D2081"/>
    <w:rsid w:val="001D3480"/>
    <w:rsid w:val="001D3B42"/>
    <w:rsid w:val="001D4273"/>
    <w:rsid w:val="001D4BCB"/>
    <w:rsid w:val="001D4EEE"/>
    <w:rsid w:val="001D761B"/>
    <w:rsid w:val="001E5535"/>
    <w:rsid w:val="001F027C"/>
    <w:rsid w:val="001F0CFB"/>
    <w:rsid w:val="001F5632"/>
    <w:rsid w:val="001F57A0"/>
    <w:rsid w:val="001F6BC0"/>
    <w:rsid w:val="001F7641"/>
    <w:rsid w:val="0020087B"/>
    <w:rsid w:val="002028F4"/>
    <w:rsid w:val="00204705"/>
    <w:rsid w:val="00206257"/>
    <w:rsid w:val="00214043"/>
    <w:rsid w:val="0021507E"/>
    <w:rsid w:val="00216B3E"/>
    <w:rsid w:val="002240A9"/>
    <w:rsid w:val="00225CA0"/>
    <w:rsid w:val="00225FDA"/>
    <w:rsid w:val="00233A41"/>
    <w:rsid w:val="002354CB"/>
    <w:rsid w:val="00235714"/>
    <w:rsid w:val="00237E19"/>
    <w:rsid w:val="00240D95"/>
    <w:rsid w:val="00243620"/>
    <w:rsid w:val="00250234"/>
    <w:rsid w:val="002559F3"/>
    <w:rsid w:val="00256152"/>
    <w:rsid w:val="00257457"/>
    <w:rsid w:val="00261583"/>
    <w:rsid w:val="00261A4B"/>
    <w:rsid w:val="00262A00"/>
    <w:rsid w:val="002672C9"/>
    <w:rsid w:val="00272D8E"/>
    <w:rsid w:val="0027441B"/>
    <w:rsid w:val="00275C80"/>
    <w:rsid w:val="00280864"/>
    <w:rsid w:val="00281241"/>
    <w:rsid w:val="00281582"/>
    <w:rsid w:val="00282798"/>
    <w:rsid w:val="002832DE"/>
    <w:rsid w:val="00284A1F"/>
    <w:rsid w:val="00285F9E"/>
    <w:rsid w:val="002873AB"/>
    <w:rsid w:val="00292B16"/>
    <w:rsid w:val="00293997"/>
    <w:rsid w:val="00294D2B"/>
    <w:rsid w:val="00295BFC"/>
    <w:rsid w:val="002A03C7"/>
    <w:rsid w:val="002A111F"/>
    <w:rsid w:val="002A28BE"/>
    <w:rsid w:val="002A6240"/>
    <w:rsid w:val="002A70FE"/>
    <w:rsid w:val="002B516B"/>
    <w:rsid w:val="002B5992"/>
    <w:rsid w:val="002B6BD3"/>
    <w:rsid w:val="002B7464"/>
    <w:rsid w:val="002C0C8B"/>
    <w:rsid w:val="002C294D"/>
    <w:rsid w:val="002C3F62"/>
    <w:rsid w:val="002C436A"/>
    <w:rsid w:val="002D14D3"/>
    <w:rsid w:val="002D6DB7"/>
    <w:rsid w:val="002E1D5F"/>
    <w:rsid w:val="002E5CC6"/>
    <w:rsid w:val="002E5D25"/>
    <w:rsid w:val="002E6795"/>
    <w:rsid w:val="00303FB4"/>
    <w:rsid w:val="00304160"/>
    <w:rsid w:val="003046D6"/>
    <w:rsid w:val="00305088"/>
    <w:rsid w:val="0030527F"/>
    <w:rsid w:val="00310DF5"/>
    <w:rsid w:val="00310E2A"/>
    <w:rsid w:val="003130EA"/>
    <w:rsid w:val="00316A25"/>
    <w:rsid w:val="00316E5C"/>
    <w:rsid w:val="00316E8E"/>
    <w:rsid w:val="0031731C"/>
    <w:rsid w:val="00320279"/>
    <w:rsid w:val="00321A0A"/>
    <w:rsid w:val="003277BB"/>
    <w:rsid w:val="00327DA3"/>
    <w:rsid w:val="0033115A"/>
    <w:rsid w:val="00332800"/>
    <w:rsid w:val="00332CCB"/>
    <w:rsid w:val="003337FF"/>
    <w:rsid w:val="00336543"/>
    <w:rsid w:val="00337B89"/>
    <w:rsid w:val="00337C1C"/>
    <w:rsid w:val="00341C55"/>
    <w:rsid w:val="00342203"/>
    <w:rsid w:val="00342DC8"/>
    <w:rsid w:val="003453E0"/>
    <w:rsid w:val="0034594B"/>
    <w:rsid w:val="00351A83"/>
    <w:rsid w:val="00351C76"/>
    <w:rsid w:val="00353E79"/>
    <w:rsid w:val="00362FC0"/>
    <w:rsid w:val="00363904"/>
    <w:rsid w:val="00363CBA"/>
    <w:rsid w:val="003657BF"/>
    <w:rsid w:val="00372D07"/>
    <w:rsid w:val="00374445"/>
    <w:rsid w:val="0038046D"/>
    <w:rsid w:val="0038610D"/>
    <w:rsid w:val="003862D1"/>
    <w:rsid w:val="00386581"/>
    <w:rsid w:val="00386603"/>
    <w:rsid w:val="003A1A31"/>
    <w:rsid w:val="003A3CB8"/>
    <w:rsid w:val="003B0B18"/>
    <w:rsid w:val="003B3235"/>
    <w:rsid w:val="003B3CDB"/>
    <w:rsid w:val="003B4158"/>
    <w:rsid w:val="003B66B7"/>
    <w:rsid w:val="003B7086"/>
    <w:rsid w:val="003B76DC"/>
    <w:rsid w:val="003C1D5F"/>
    <w:rsid w:val="003C3BFE"/>
    <w:rsid w:val="003C4DFB"/>
    <w:rsid w:val="003C6BB9"/>
    <w:rsid w:val="003D1E01"/>
    <w:rsid w:val="003D7D4A"/>
    <w:rsid w:val="003E43DD"/>
    <w:rsid w:val="003F2194"/>
    <w:rsid w:val="003F3C53"/>
    <w:rsid w:val="003F4B15"/>
    <w:rsid w:val="00405767"/>
    <w:rsid w:val="00410CFC"/>
    <w:rsid w:val="00411602"/>
    <w:rsid w:val="0041172C"/>
    <w:rsid w:val="00415D19"/>
    <w:rsid w:val="0041700D"/>
    <w:rsid w:val="0041714E"/>
    <w:rsid w:val="00427569"/>
    <w:rsid w:val="004301DD"/>
    <w:rsid w:val="00431273"/>
    <w:rsid w:val="004323B9"/>
    <w:rsid w:val="00433154"/>
    <w:rsid w:val="004337AA"/>
    <w:rsid w:val="004401F7"/>
    <w:rsid w:val="00440A50"/>
    <w:rsid w:val="00441A63"/>
    <w:rsid w:val="00442264"/>
    <w:rsid w:val="00442C89"/>
    <w:rsid w:val="00446E0D"/>
    <w:rsid w:val="00447734"/>
    <w:rsid w:val="00455779"/>
    <w:rsid w:val="00456731"/>
    <w:rsid w:val="004577B7"/>
    <w:rsid w:val="004578E6"/>
    <w:rsid w:val="00462067"/>
    <w:rsid w:val="004643B4"/>
    <w:rsid w:val="00465B2B"/>
    <w:rsid w:val="0047155C"/>
    <w:rsid w:val="00472BF5"/>
    <w:rsid w:val="00476CA3"/>
    <w:rsid w:val="004777D6"/>
    <w:rsid w:val="00477F80"/>
    <w:rsid w:val="00481245"/>
    <w:rsid w:val="0048193B"/>
    <w:rsid w:val="004835FB"/>
    <w:rsid w:val="00490909"/>
    <w:rsid w:val="00491314"/>
    <w:rsid w:val="00492703"/>
    <w:rsid w:val="004A33CE"/>
    <w:rsid w:val="004A416B"/>
    <w:rsid w:val="004A5690"/>
    <w:rsid w:val="004B1E93"/>
    <w:rsid w:val="004B4D5E"/>
    <w:rsid w:val="004B531B"/>
    <w:rsid w:val="004B5882"/>
    <w:rsid w:val="004C32C7"/>
    <w:rsid w:val="004C5E92"/>
    <w:rsid w:val="004C7EE6"/>
    <w:rsid w:val="004D06A8"/>
    <w:rsid w:val="004D1089"/>
    <w:rsid w:val="004D743A"/>
    <w:rsid w:val="004D7CA0"/>
    <w:rsid w:val="004E0608"/>
    <w:rsid w:val="004E2054"/>
    <w:rsid w:val="004E4952"/>
    <w:rsid w:val="004E4CEF"/>
    <w:rsid w:val="004E5136"/>
    <w:rsid w:val="004E58CB"/>
    <w:rsid w:val="004F0C57"/>
    <w:rsid w:val="004F1845"/>
    <w:rsid w:val="004F1DC9"/>
    <w:rsid w:val="004F2561"/>
    <w:rsid w:val="004F2A92"/>
    <w:rsid w:val="004F3669"/>
    <w:rsid w:val="004F3E8D"/>
    <w:rsid w:val="004F5F90"/>
    <w:rsid w:val="005003AD"/>
    <w:rsid w:val="00501E15"/>
    <w:rsid w:val="00503786"/>
    <w:rsid w:val="005049B0"/>
    <w:rsid w:val="00505311"/>
    <w:rsid w:val="00505A84"/>
    <w:rsid w:val="00505C94"/>
    <w:rsid w:val="005060E0"/>
    <w:rsid w:val="005073C7"/>
    <w:rsid w:val="005073CF"/>
    <w:rsid w:val="00507907"/>
    <w:rsid w:val="00512AD9"/>
    <w:rsid w:val="005138AE"/>
    <w:rsid w:val="00515305"/>
    <w:rsid w:val="00516371"/>
    <w:rsid w:val="00522CBD"/>
    <w:rsid w:val="00522F0F"/>
    <w:rsid w:val="00527393"/>
    <w:rsid w:val="00531C0F"/>
    <w:rsid w:val="005336E6"/>
    <w:rsid w:val="00537A24"/>
    <w:rsid w:val="005416B9"/>
    <w:rsid w:val="0054523B"/>
    <w:rsid w:val="00546081"/>
    <w:rsid w:val="00547425"/>
    <w:rsid w:val="005564E2"/>
    <w:rsid w:val="00565783"/>
    <w:rsid w:val="00566942"/>
    <w:rsid w:val="00570056"/>
    <w:rsid w:val="00570439"/>
    <w:rsid w:val="00570EB8"/>
    <w:rsid w:val="00572117"/>
    <w:rsid w:val="00577613"/>
    <w:rsid w:val="00580562"/>
    <w:rsid w:val="0058093E"/>
    <w:rsid w:val="00581F3F"/>
    <w:rsid w:val="00583F3C"/>
    <w:rsid w:val="00585414"/>
    <w:rsid w:val="00594853"/>
    <w:rsid w:val="005959C6"/>
    <w:rsid w:val="00596010"/>
    <w:rsid w:val="005A1C40"/>
    <w:rsid w:val="005A3DCD"/>
    <w:rsid w:val="005A3E8A"/>
    <w:rsid w:val="005A5A10"/>
    <w:rsid w:val="005A614F"/>
    <w:rsid w:val="005A70FD"/>
    <w:rsid w:val="005A7761"/>
    <w:rsid w:val="005A7959"/>
    <w:rsid w:val="005B1639"/>
    <w:rsid w:val="005B381B"/>
    <w:rsid w:val="005B3E03"/>
    <w:rsid w:val="005B558D"/>
    <w:rsid w:val="005C004A"/>
    <w:rsid w:val="005C1913"/>
    <w:rsid w:val="005C1F36"/>
    <w:rsid w:val="005C7B00"/>
    <w:rsid w:val="005D06E4"/>
    <w:rsid w:val="005D10C3"/>
    <w:rsid w:val="005D1C5F"/>
    <w:rsid w:val="005D1C8F"/>
    <w:rsid w:val="005D5534"/>
    <w:rsid w:val="005D618F"/>
    <w:rsid w:val="005E24BA"/>
    <w:rsid w:val="005E5496"/>
    <w:rsid w:val="005E5F03"/>
    <w:rsid w:val="005F11D8"/>
    <w:rsid w:val="005F3760"/>
    <w:rsid w:val="005F4AB8"/>
    <w:rsid w:val="005F7B3A"/>
    <w:rsid w:val="005F7B87"/>
    <w:rsid w:val="00600AC9"/>
    <w:rsid w:val="00605649"/>
    <w:rsid w:val="006058AB"/>
    <w:rsid w:val="00605D4B"/>
    <w:rsid w:val="00606411"/>
    <w:rsid w:val="00614F9A"/>
    <w:rsid w:val="00617175"/>
    <w:rsid w:val="00617CC2"/>
    <w:rsid w:val="00617CC7"/>
    <w:rsid w:val="00622DA0"/>
    <w:rsid w:val="00627952"/>
    <w:rsid w:val="00627D2C"/>
    <w:rsid w:val="00630580"/>
    <w:rsid w:val="006306CE"/>
    <w:rsid w:val="0063395F"/>
    <w:rsid w:val="00633CB8"/>
    <w:rsid w:val="00634F70"/>
    <w:rsid w:val="0063549F"/>
    <w:rsid w:val="00640226"/>
    <w:rsid w:val="00642A9E"/>
    <w:rsid w:val="006447FF"/>
    <w:rsid w:val="00645C10"/>
    <w:rsid w:val="00654A83"/>
    <w:rsid w:val="00655F8C"/>
    <w:rsid w:val="00656427"/>
    <w:rsid w:val="00662AC0"/>
    <w:rsid w:val="00664E8A"/>
    <w:rsid w:val="00666273"/>
    <w:rsid w:val="006672E7"/>
    <w:rsid w:val="00677A4D"/>
    <w:rsid w:val="00677FDA"/>
    <w:rsid w:val="006800E5"/>
    <w:rsid w:val="00682F9F"/>
    <w:rsid w:val="00684B2E"/>
    <w:rsid w:val="006902C6"/>
    <w:rsid w:val="00691DD2"/>
    <w:rsid w:val="00691DDE"/>
    <w:rsid w:val="006960B4"/>
    <w:rsid w:val="006A01E6"/>
    <w:rsid w:val="006A02DD"/>
    <w:rsid w:val="006A0400"/>
    <w:rsid w:val="006A107D"/>
    <w:rsid w:val="006A1150"/>
    <w:rsid w:val="006A68D5"/>
    <w:rsid w:val="006A7E5B"/>
    <w:rsid w:val="006B130B"/>
    <w:rsid w:val="006B13D2"/>
    <w:rsid w:val="006B5479"/>
    <w:rsid w:val="006C40AC"/>
    <w:rsid w:val="006C5FA6"/>
    <w:rsid w:val="006D13F3"/>
    <w:rsid w:val="006D44E3"/>
    <w:rsid w:val="006E21CA"/>
    <w:rsid w:val="006E22B3"/>
    <w:rsid w:val="006E329A"/>
    <w:rsid w:val="006E3AA1"/>
    <w:rsid w:val="006E4FBF"/>
    <w:rsid w:val="006E59FE"/>
    <w:rsid w:val="006E5E9A"/>
    <w:rsid w:val="006E6704"/>
    <w:rsid w:val="006E6789"/>
    <w:rsid w:val="006F02F2"/>
    <w:rsid w:val="00702969"/>
    <w:rsid w:val="00702A09"/>
    <w:rsid w:val="00704010"/>
    <w:rsid w:val="00704879"/>
    <w:rsid w:val="00705CDA"/>
    <w:rsid w:val="00705F26"/>
    <w:rsid w:val="00712793"/>
    <w:rsid w:val="0071346E"/>
    <w:rsid w:val="007136FF"/>
    <w:rsid w:val="00714713"/>
    <w:rsid w:val="00714971"/>
    <w:rsid w:val="007230E2"/>
    <w:rsid w:val="0072696D"/>
    <w:rsid w:val="00726B56"/>
    <w:rsid w:val="0073143D"/>
    <w:rsid w:val="00733507"/>
    <w:rsid w:val="00733A34"/>
    <w:rsid w:val="007355BB"/>
    <w:rsid w:val="0073593B"/>
    <w:rsid w:val="007400F3"/>
    <w:rsid w:val="007452BA"/>
    <w:rsid w:val="00745868"/>
    <w:rsid w:val="007509D6"/>
    <w:rsid w:val="0075280E"/>
    <w:rsid w:val="00752DFE"/>
    <w:rsid w:val="00753CE1"/>
    <w:rsid w:val="00753F5A"/>
    <w:rsid w:val="00754976"/>
    <w:rsid w:val="00756E7D"/>
    <w:rsid w:val="00757353"/>
    <w:rsid w:val="007603CC"/>
    <w:rsid w:val="00761D7D"/>
    <w:rsid w:val="007642A0"/>
    <w:rsid w:val="00764B19"/>
    <w:rsid w:val="00764CB8"/>
    <w:rsid w:val="00767331"/>
    <w:rsid w:val="007706AB"/>
    <w:rsid w:val="00771E6F"/>
    <w:rsid w:val="007740B4"/>
    <w:rsid w:val="00774C50"/>
    <w:rsid w:val="0077582A"/>
    <w:rsid w:val="00775DA6"/>
    <w:rsid w:val="0077733C"/>
    <w:rsid w:val="0078124E"/>
    <w:rsid w:val="0078487E"/>
    <w:rsid w:val="00786974"/>
    <w:rsid w:val="00787D72"/>
    <w:rsid w:val="00791343"/>
    <w:rsid w:val="00791503"/>
    <w:rsid w:val="0079448E"/>
    <w:rsid w:val="00796D14"/>
    <w:rsid w:val="007A2856"/>
    <w:rsid w:val="007A3E8D"/>
    <w:rsid w:val="007A66E5"/>
    <w:rsid w:val="007B2016"/>
    <w:rsid w:val="007B3207"/>
    <w:rsid w:val="007B7632"/>
    <w:rsid w:val="007B7B0A"/>
    <w:rsid w:val="007C0C0F"/>
    <w:rsid w:val="007C7CD7"/>
    <w:rsid w:val="007D437D"/>
    <w:rsid w:val="007E075D"/>
    <w:rsid w:val="007E199B"/>
    <w:rsid w:val="007E3BC2"/>
    <w:rsid w:val="007F1A52"/>
    <w:rsid w:val="007F27BF"/>
    <w:rsid w:val="007F3574"/>
    <w:rsid w:val="00800465"/>
    <w:rsid w:val="00805CB6"/>
    <w:rsid w:val="008125B2"/>
    <w:rsid w:val="00813625"/>
    <w:rsid w:val="008173C1"/>
    <w:rsid w:val="00822D6B"/>
    <w:rsid w:val="0082444D"/>
    <w:rsid w:val="008304FF"/>
    <w:rsid w:val="00832D39"/>
    <w:rsid w:val="0083517E"/>
    <w:rsid w:val="0083525B"/>
    <w:rsid w:val="00835764"/>
    <w:rsid w:val="00836E8F"/>
    <w:rsid w:val="0084089C"/>
    <w:rsid w:val="008431FA"/>
    <w:rsid w:val="00844A4F"/>
    <w:rsid w:val="008542C7"/>
    <w:rsid w:val="00856752"/>
    <w:rsid w:val="0086152C"/>
    <w:rsid w:val="00861E5B"/>
    <w:rsid w:val="00861F4E"/>
    <w:rsid w:val="00864164"/>
    <w:rsid w:val="00864A84"/>
    <w:rsid w:val="00867B38"/>
    <w:rsid w:val="00873BF8"/>
    <w:rsid w:val="00881BDE"/>
    <w:rsid w:val="00881DC8"/>
    <w:rsid w:val="00885738"/>
    <w:rsid w:val="008870B3"/>
    <w:rsid w:val="00890220"/>
    <w:rsid w:val="008948CF"/>
    <w:rsid w:val="0089674F"/>
    <w:rsid w:val="00897685"/>
    <w:rsid w:val="008A5B26"/>
    <w:rsid w:val="008A6072"/>
    <w:rsid w:val="008A62D4"/>
    <w:rsid w:val="008B38B4"/>
    <w:rsid w:val="008B4225"/>
    <w:rsid w:val="008B6C5E"/>
    <w:rsid w:val="008B781C"/>
    <w:rsid w:val="008C037D"/>
    <w:rsid w:val="008C0B27"/>
    <w:rsid w:val="008C554E"/>
    <w:rsid w:val="008D12AB"/>
    <w:rsid w:val="008D1E9B"/>
    <w:rsid w:val="008D2CFB"/>
    <w:rsid w:val="008E0BAD"/>
    <w:rsid w:val="008E618D"/>
    <w:rsid w:val="008E7836"/>
    <w:rsid w:val="008F18FA"/>
    <w:rsid w:val="008F2484"/>
    <w:rsid w:val="008F3975"/>
    <w:rsid w:val="008F3C1E"/>
    <w:rsid w:val="008F43E0"/>
    <w:rsid w:val="008F48FA"/>
    <w:rsid w:val="008F6E9E"/>
    <w:rsid w:val="00902843"/>
    <w:rsid w:val="00902CD4"/>
    <w:rsid w:val="00904F88"/>
    <w:rsid w:val="0090741F"/>
    <w:rsid w:val="00907899"/>
    <w:rsid w:val="0091480E"/>
    <w:rsid w:val="00914ABE"/>
    <w:rsid w:val="009166A8"/>
    <w:rsid w:val="009178D9"/>
    <w:rsid w:val="00920D36"/>
    <w:rsid w:val="009224AC"/>
    <w:rsid w:val="00923CA4"/>
    <w:rsid w:val="00923CB6"/>
    <w:rsid w:val="00924D89"/>
    <w:rsid w:val="00924EFF"/>
    <w:rsid w:val="009270B6"/>
    <w:rsid w:val="009319FD"/>
    <w:rsid w:val="00931DDD"/>
    <w:rsid w:val="00933942"/>
    <w:rsid w:val="009340D1"/>
    <w:rsid w:val="00944F39"/>
    <w:rsid w:val="009521EF"/>
    <w:rsid w:val="009536D4"/>
    <w:rsid w:val="00953CC2"/>
    <w:rsid w:val="0095761C"/>
    <w:rsid w:val="009604D5"/>
    <w:rsid w:val="00960847"/>
    <w:rsid w:val="00967690"/>
    <w:rsid w:val="00970AF5"/>
    <w:rsid w:val="009717C9"/>
    <w:rsid w:val="009728D8"/>
    <w:rsid w:val="00976337"/>
    <w:rsid w:val="00976665"/>
    <w:rsid w:val="00977993"/>
    <w:rsid w:val="00977EC3"/>
    <w:rsid w:val="009809DD"/>
    <w:rsid w:val="00982148"/>
    <w:rsid w:val="009825B0"/>
    <w:rsid w:val="00983D39"/>
    <w:rsid w:val="00984890"/>
    <w:rsid w:val="009866A2"/>
    <w:rsid w:val="0098750A"/>
    <w:rsid w:val="0099185C"/>
    <w:rsid w:val="0099547D"/>
    <w:rsid w:val="00996EE8"/>
    <w:rsid w:val="009A1D06"/>
    <w:rsid w:val="009A3A64"/>
    <w:rsid w:val="009A4D06"/>
    <w:rsid w:val="009A54D4"/>
    <w:rsid w:val="009B2392"/>
    <w:rsid w:val="009B38AB"/>
    <w:rsid w:val="009B4514"/>
    <w:rsid w:val="009B6EC5"/>
    <w:rsid w:val="009C0CDA"/>
    <w:rsid w:val="009C2130"/>
    <w:rsid w:val="009D032F"/>
    <w:rsid w:val="009D1327"/>
    <w:rsid w:val="009D694A"/>
    <w:rsid w:val="009D7244"/>
    <w:rsid w:val="009D7F1B"/>
    <w:rsid w:val="009E16F4"/>
    <w:rsid w:val="009E1875"/>
    <w:rsid w:val="009E501A"/>
    <w:rsid w:val="009F3124"/>
    <w:rsid w:val="009F58CA"/>
    <w:rsid w:val="009F6843"/>
    <w:rsid w:val="009F73F9"/>
    <w:rsid w:val="009F77CC"/>
    <w:rsid w:val="00A0273B"/>
    <w:rsid w:val="00A030BE"/>
    <w:rsid w:val="00A03926"/>
    <w:rsid w:val="00A0538F"/>
    <w:rsid w:val="00A0547D"/>
    <w:rsid w:val="00A10FCE"/>
    <w:rsid w:val="00A12709"/>
    <w:rsid w:val="00A140C1"/>
    <w:rsid w:val="00A14218"/>
    <w:rsid w:val="00A16021"/>
    <w:rsid w:val="00A206A6"/>
    <w:rsid w:val="00A2094A"/>
    <w:rsid w:val="00A216E0"/>
    <w:rsid w:val="00A24ED1"/>
    <w:rsid w:val="00A25CEE"/>
    <w:rsid w:val="00A265E1"/>
    <w:rsid w:val="00A346FE"/>
    <w:rsid w:val="00A36788"/>
    <w:rsid w:val="00A3703C"/>
    <w:rsid w:val="00A37283"/>
    <w:rsid w:val="00A37F80"/>
    <w:rsid w:val="00A40440"/>
    <w:rsid w:val="00A45F6F"/>
    <w:rsid w:val="00A464C3"/>
    <w:rsid w:val="00A47985"/>
    <w:rsid w:val="00A5723B"/>
    <w:rsid w:val="00A6270F"/>
    <w:rsid w:val="00A62D70"/>
    <w:rsid w:val="00A633EB"/>
    <w:rsid w:val="00A63AAF"/>
    <w:rsid w:val="00A65137"/>
    <w:rsid w:val="00A70120"/>
    <w:rsid w:val="00A74677"/>
    <w:rsid w:val="00A75F79"/>
    <w:rsid w:val="00A77206"/>
    <w:rsid w:val="00A77507"/>
    <w:rsid w:val="00A77CB2"/>
    <w:rsid w:val="00A800BE"/>
    <w:rsid w:val="00A80BE7"/>
    <w:rsid w:val="00A8216B"/>
    <w:rsid w:val="00A82EBF"/>
    <w:rsid w:val="00A85CC9"/>
    <w:rsid w:val="00A87FE2"/>
    <w:rsid w:val="00A93488"/>
    <w:rsid w:val="00A936EA"/>
    <w:rsid w:val="00A9422D"/>
    <w:rsid w:val="00A9456E"/>
    <w:rsid w:val="00A96D22"/>
    <w:rsid w:val="00AA17BC"/>
    <w:rsid w:val="00AA1A70"/>
    <w:rsid w:val="00AA281C"/>
    <w:rsid w:val="00AA4A36"/>
    <w:rsid w:val="00AA5937"/>
    <w:rsid w:val="00AA6BDA"/>
    <w:rsid w:val="00AB2FD7"/>
    <w:rsid w:val="00AB3F2C"/>
    <w:rsid w:val="00AC0526"/>
    <w:rsid w:val="00AC05C2"/>
    <w:rsid w:val="00AC0C40"/>
    <w:rsid w:val="00AC1D89"/>
    <w:rsid w:val="00AC71EC"/>
    <w:rsid w:val="00AD1773"/>
    <w:rsid w:val="00AD25E7"/>
    <w:rsid w:val="00AD4251"/>
    <w:rsid w:val="00AE1DF7"/>
    <w:rsid w:val="00AE30DB"/>
    <w:rsid w:val="00AE3FA9"/>
    <w:rsid w:val="00AF3DC3"/>
    <w:rsid w:val="00AF4A9B"/>
    <w:rsid w:val="00AF73E0"/>
    <w:rsid w:val="00B0204B"/>
    <w:rsid w:val="00B0490C"/>
    <w:rsid w:val="00B067F6"/>
    <w:rsid w:val="00B10358"/>
    <w:rsid w:val="00B107C7"/>
    <w:rsid w:val="00B11743"/>
    <w:rsid w:val="00B1205C"/>
    <w:rsid w:val="00B140AD"/>
    <w:rsid w:val="00B2208A"/>
    <w:rsid w:val="00B24948"/>
    <w:rsid w:val="00B305CD"/>
    <w:rsid w:val="00B337F8"/>
    <w:rsid w:val="00B344D9"/>
    <w:rsid w:val="00B355C2"/>
    <w:rsid w:val="00B36479"/>
    <w:rsid w:val="00B36BBD"/>
    <w:rsid w:val="00B371EA"/>
    <w:rsid w:val="00B45DC2"/>
    <w:rsid w:val="00B503C4"/>
    <w:rsid w:val="00B60EC0"/>
    <w:rsid w:val="00B64EA2"/>
    <w:rsid w:val="00B72BC6"/>
    <w:rsid w:val="00B73685"/>
    <w:rsid w:val="00B74463"/>
    <w:rsid w:val="00B75AEB"/>
    <w:rsid w:val="00B76771"/>
    <w:rsid w:val="00B76877"/>
    <w:rsid w:val="00B8403A"/>
    <w:rsid w:val="00B87C9B"/>
    <w:rsid w:val="00B91D6A"/>
    <w:rsid w:val="00B94CB4"/>
    <w:rsid w:val="00B96304"/>
    <w:rsid w:val="00B97F2F"/>
    <w:rsid w:val="00BA4A76"/>
    <w:rsid w:val="00BA5440"/>
    <w:rsid w:val="00BA600C"/>
    <w:rsid w:val="00BB0979"/>
    <w:rsid w:val="00BB1DAA"/>
    <w:rsid w:val="00BB41D1"/>
    <w:rsid w:val="00BB4885"/>
    <w:rsid w:val="00BB4EC6"/>
    <w:rsid w:val="00BC2C6B"/>
    <w:rsid w:val="00BC6493"/>
    <w:rsid w:val="00BC7864"/>
    <w:rsid w:val="00BD1769"/>
    <w:rsid w:val="00BD20CE"/>
    <w:rsid w:val="00BD4809"/>
    <w:rsid w:val="00BE09A6"/>
    <w:rsid w:val="00BE1A5E"/>
    <w:rsid w:val="00BE4562"/>
    <w:rsid w:val="00BE4AA1"/>
    <w:rsid w:val="00BF1CA0"/>
    <w:rsid w:val="00BF1FB1"/>
    <w:rsid w:val="00BF2A22"/>
    <w:rsid w:val="00BF4118"/>
    <w:rsid w:val="00BF5421"/>
    <w:rsid w:val="00BF6551"/>
    <w:rsid w:val="00C070E4"/>
    <w:rsid w:val="00C07594"/>
    <w:rsid w:val="00C1144C"/>
    <w:rsid w:val="00C13F83"/>
    <w:rsid w:val="00C1469A"/>
    <w:rsid w:val="00C151E4"/>
    <w:rsid w:val="00C23BE3"/>
    <w:rsid w:val="00C25A8D"/>
    <w:rsid w:val="00C26AEC"/>
    <w:rsid w:val="00C300E0"/>
    <w:rsid w:val="00C30609"/>
    <w:rsid w:val="00C307E8"/>
    <w:rsid w:val="00C32BE4"/>
    <w:rsid w:val="00C35FBC"/>
    <w:rsid w:val="00C379FB"/>
    <w:rsid w:val="00C466D2"/>
    <w:rsid w:val="00C472C3"/>
    <w:rsid w:val="00C52CF5"/>
    <w:rsid w:val="00C53214"/>
    <w:rsid w:val="00C568BF"/>
    <w:rsid w:val="00C60D44"/>
    <w:rsid w:val="00C6681B"/>
    <w:rsid w:val="00C67F9A"/>
    <w:rsid w:val="00C73391"/>
    <w:rsid w:val="00C76A65"/>
    <w:rsid w:val="00C8139D"/>
    <w:rsid w:val="00C835FF"/>
    <w:rsid w:val="00C86426"/>
    <w:rsid w:val="00C8700C"/>
    <w:rsid w:val="00C87712"/>
    <w:rsid w:val="00C87AA4"/>
    <w:rsid w:val="00C87B0A"/>
    <w:rsid w:val="00C944F1"/>
    <w:rsid w:val="00C94F3D"/>
    <w:rsid w:val="00C95429"/>
    <w:rsid w:val="00CA18B3"/>
    <w:rsid w:val="00CA4264"/>
    <w:rsid w:val="00CA452C"/>
    <w:rsid w:val="00CA4F86"/>
    <w:rsid w:val="00CA54D0"/>
    <w:rsid w:val="00CA6DAB"/>
    <w:rsid w:val="00CB40DE"/>
    <w:rsid w:val="00CB5D38"/>
    <w:rsid w:val="00CB753A"/>
    <w:rsid w:val="00CB760F"/>
    <w:rsid w:val="00CC1425"/>
    <w:rsid w:val="00CC2BB9"/>
    <w:rsid w:val="00CC5766"/>
    <w:rsid w:val="00CD00D9"/>
    <w:rsid w:val="00CD06CF"/>
    <w:rsid w:val="00CD156A"/>
    <w:rsid w:val="00CD28AA"/>
    <w:rsid w:val="00CD3ECE"/>
    <w:rsid w:val="00CD4C4C"/>
    <w:rsid w:val="00CD58BC"/>
    <w:rsid w:val="00CD6315"/>
    <w:rsid w:val="00CE088F"/>
    <w:rsid w:val="00CE369B"/>
    <w:rsid w:val="00CE4016"/>
    <w:rsid w:val="00CE64F4"/>
    <w:rsid w:val="00CE71FC"/>
    <w:rsid w:val="00CF19BA"/>
    <w:rsid w:val="00CF3233"/>
    <w:rsid w:val="00CF3581"/>
    <w:rsid w:val="00CF3BFC"/>
    <w:rsid w:val="00CF75B9"/>
    <w:rsid w:val="00D033B7"/>
    <w:rsid w:val="00D03E6F"/>
    <w:rsid w:val="00D05E80"/>
    <w:rsid w:val="00D06427"/>
    <w:rsid w:val="00D16656"/>
    <w:rsid w:val="00D249EE"/>
    <w:rsid w:val="00D25F5A"/>
    <w:rsid w:val="00D27506"/>
    <w:rsid w:val="00D27B7D"/>
    <w:rsid w:val="00D30049"/>
    <w:rsid w:val="00D3122B"/>
    <w:rsid w:val="00D401A8"/>
    <w:rsid w:val="00D425F0"/>
    <w:rsid w:val="00D53994"/>
    <w:rsid w:val="00D53E22"/>
    <w:rsid w:val="00D55A01"/>
    <w:rsid w:val="00D60362"/>
    <w:rsid w:val="00D61C8A"/>
    <w:rsid w:val="00D62E8C"/>
    <w:rsid w:val="00D677EC"/>
    <w:rsid w:val="00D70423"/>
    <w:rsid w:val="00D733FB"/>
    <w:rsid w:val="00D829B0"/>
    <w:rsid w:val="00D82C04"/>
    <w:rsid w:val="00D92E52"/>
    <w:rsid w:val="00D94340"/>
    <w:rsid w:val="00D96194"/>
    <w:rsid w:val="00D964EB"/>
    <w:rsid w:val="00D97001"/>
    <w:rsid w:val="00D975CC"/>
    <w:rsid w:val="00DA10FE"/>
    <w:rsid w:val="00DA2BBC"/>
    <w:rsid w:val="00DA404B"/>
    <w:rsid w:val="00DA4740"/>
    <w:rsid w:val="00DA7850"/>
    <w:rsid w:val="00DB2435"/>
    <w:rsid w:val="00DB7FFA"/>
    <w:rsid w:val="00DC3731"/>
    <w:rsid w:val="00DC591B"/>
    <w:rsid w:val="00DC775E"/>
    <w:rsid w:val="00DD397E"/>
    <w:rsid w:val="00DD5A0B"/>
    <w:rsid w:val="00DD6B88"/>
    <w:rsid w:val="00DE3142"/>
    <w:rsid w:val="00DE3B3B"/>
    <w:rsid w:val="00DF2503"/>
    <w:rsid w:val="00DF27AD"/>
    <w:rsid w:val="00DF4A9F"/>
    <w:rsid w:val="00DF4C1E"/>
    <w:rsid w:val="00DF517D"/>
    <w:rsid w:val="00DF7260"/>
    <w:rsid w:val="00E014BA"/>
    <w:rsid w:val="00E027CB"/>
    <w:rsid w:val="00E07DF1"/>
    <w:rsid w:val="00E107EC"/>
    <w:rsid w:val="00E113DA"/>
    <w:rsid w:val="00E12F82"/>
    <w:rsid w:val="00E13725"/>
    <w:rsid w:val="00E164F5"/>
    <w:rsid w:val="00E23817"/>
    <w:rsid w:val="00E26794"/>
    <w:rsid w:val="00E30C8F"/>
    <w:rsid w:val="00E32354"/>
    <w:rsid w:val="00E33994"/>
    <w:rsid w:val="00E35B1D"/>
    <w:rsid w:val="00E3614B"/>
    <w:rsid w:val="00E43D75"/>
    <w:rsid w:val="00E460A6"/>
    <w:rsid w:val="00E61210"/>
    <w:rsid w:val="00E61707"/>
    <w:rsid w:val="00E61803"/>
    <w:rsid w:val="00E644FA"/>
    <w:rsid w:val="00E64D94"/>
    <w:rsid w:val="00E65DFF"/>
    <w:rsid w:val="00E66B17"/>
    <w:rsid w:val="00E73634"/>
    <w:rsid w:val="00E74077"/>
    <w:rsid w:val="00E744F7"/>
    <w:rsid w:val="00E75BEE"/>
    <w:rsid w:val="00E8209A"/>
    <w:rsid w:val="00E82483"/>
    <w:rsid w:val="00E904BF"/>
    <w:rsid w:val="00E94C1A"/>
    <w:rsid w:val="00E95FCF"/>
    <w:rsid w:val="00E95FE6"/>
    <w:rsid w:val="00EA1EE6"/>
    <w:rsid w:val="00EA246C"/>
    <w:rsid w:val="00EA29CF"/>
    <w:rsid w:val="00EA759A"/>
    <w:rsid w:val="00EB56BA"/>
    <w:rsid w:val="00EC13A8"/>
    <w:rsid w:val="00EC253C"/>
    <w:rsid w:val="00EC2914"/>
    <w:rsid w:val="00EC7DA5"/>
    <w:rsid w:val="00ED0BB2"/>
    <w:rsid w:val="00ED2929"/>
    <w:rsid w:val="00ED3F15"/>
    <w:rsid w:val="00ED40A2"/>
    <w:rsid w:val="00ED6BAD"/>
    <w:rsid w:val="00EE22DF"/>
    <w:rsid w:val="00EE45F0"/>
    <w:rsid w:val="00EF1E26"/>
    <w:rsid w:val="00EF5F34"/>
    <w:rsid w:val="00EF69F6"/>
    <w:rsid w:val="00F05A08"/>
    <w:rsid w:val="00F05C0C"/>
    <w:rsid w:val="00F117D0"/>
    <w:rsid w:val="00F14FB1"/>
    <w:rsid w:val="00F16508"/>
    <w:rsid w:val="00F167D7"/>
    <w:rsid w:val="00F1724E"/>
    <w:rsid w:val="00F203FC"/>
    <w:rsid w:val="00F204D8"/>
    <w:rsid w:val="00F20726"/>
    <w:rsid w:val="00F209E9"/>
    <w:rsid w:val="00F20DA5"/>
    <w:rsid w:val="00F308FB"/>
    <w:rsid w:val="00F31FB4"/>
    <w:rsid w:val="00F40F39"/>
    <w:rsid w:val="00F4138E"/>
    <w:rsid w:val="00F424DD"/>
    <w:rsid w:val="00F51C18"/>
    <w:rsid w:val="00F52381"/>
    <w:rsid w:val="00F53A7A"/>
    <w:rsid w:val="00F60B5C"/>
    <w:rsid w:val="00F60EA3"/>
    <w:rsid w:val="00F61719"/>
    <w:rsid w:val="00F629BD"/>
    <w:rsid w:val="00F62E69"/>
    <w:rsid w:val="00F63F64"/>
    <w:rsid w:val="00F649E5"/>
    <w:rsid w:val="00F654EE"/>
    <w:rsid w:val="00F665E4"/>
    <w:rsid w:val="00F70858"/>
    <w:rsid w:val="00F70D0B"/>
    <w:rsid w:val="00F72412"/>
    <w:rsid w:val="00F72C67"/>
    <w:rsid w:val="00F76BE1"/>
    <w:rsid w:val="00F80813"/>
    <w:rsid w:val="00F811A9"/>
    <w:rsid w:val="00F8440D"/>
    <w:rsid w:val="00F87D46"/>
    <w:rsid w:val="00F90C21"/>
    <w:rsid w:val="00F913D5"/>
    <w:rsid w:val="00F9161E"/>
    <w:rsid w:val="00F940C4"/>
    <w:rsid w:val="00FA0861"/>
    <w:rsid w:val="00FA18E4"/>
    <w:rsid w:val="00FA2403"/>
    <w:rsid w:val="00FA435A"/>
    <w:rsid w:val="00FA6417"/>
    <w:rsid w:val="00FA7E05"/>
    <w:rsid w:val="00FB39FB"/>
    <w:rsid w:val="00FB61FA"/>
    <w:rsid w:val="00FC1786"/>
    <w:rsid w:val="00FC3EF0"/>
    <w:rsid w:val="00FC509F"/>
    <w:rsid w:val="00FD0FF6"/>
    <w:rsid w:val="00FD5BA7"/>
    <w:rsid w:val="00FE01B7"/>
    <w:rsid w:val="00FE3B59"/>
    <w:rsid w:val="00FE45D3"/>
    <w:rsid w:val="00FE668F"/>
    <w:rsid w:val="00FE7123"/>
    <w:rsid w:val="00FF0639"/>
    <w:rsid w:val="00FF07BD"/>
    <w:rsid w:val="00FF2852"/>
    <w:rsid w:val="00FF2C82"/>
    <w:rsid w:val="00FF546F"/>
    <w:rsid w:val="00FF590D"/>
    <w:rsid w:val="00FF6A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D7655"/>
  <w15:chartTrackingRefBased/>
  <w15:docId w15:val="{D7046DCE-D040-48D7-BD48-7F4CE03B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172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41172C"/>
    <w:rPr>
      <w:sz w:val="16"/>
      <w:szCs w:val="16"/>
    </w:rPr>
  </w:style>
  <w:style w:type="paragraph" w:styleId="Tekstkomentarza">
    <w:name w:val="annotation text"/>
    <w:basedOn w:val="Normalny"/>
    <w:link w:val="TekstkomentarzaZnak"/>
    <w:uiPriority w:val="99"/>
    <w:semiHidden/>
    <w:unhideWhenUsed/>
    <w:rsid w:val="0041172C"/>
    <w:rPr>
      <w:sz w:val="20"/>
      <w:szCs w:val="20"/>
    </w:rPr>
  </w:style>
  <w:style w:type="character" w:customStyle="1" w:styleId="TekstkomentarzaZnak">
    <w:name w:val="Tekst komentarza Znak"/>
    <w:basedOn w:val="Domylnaczcionkaakapitu"/>
    <w:link w:val="Tekstkomentarza"/>
    <w:uiPriority w:val="99"/>
    <w:semiHidden/>
    <w:rsid w:val="0041172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1172C"/>
    <w:rPr>
      <w:b/>
      <w:bCs/>
    </w:rPr>
  </w:style>
  <w:style w:type="character" w:customStyle="1" w:styleId="TematkomentarzaZnak">
    <w:name w:val="Temat komentarza Znak"/>
    <w:basedOn w:val="TekstkomentarzaZnak"/>
    <w:link w:val="Tematkomentarza"/>
    <w:uiPriority w:val="99"/>
    <w:semiHidden/>
    <w:rsid w:val="0041172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41172C"/>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172C"/>
    <w:rPr>
      <w:rFonts w:ascii="Segoe UI" w:eastAsia="Times New Roman" w:hAnsi="Segoe UI" w:cs="Segoe UI"/>
      <w:sz w:val="18"/>
      <w:szCs w:val="18"/>
      <w:lang w:eastAsia="pl-PL"/>
    </w:rPr>
  </w:style>
  <w:style w:type="paragraph" w:styleId="Akapitzlist">
    <w:name w:val="List Paragraph"/>
    <w:basedOn w:val="Normalny"/>
    <w:uiPriority w:val="34"/>
    <w:qFormat/>
    <w:rsid w:val="00FE4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53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9</Pages>
  <Words>3183</Words>
  <Characters>19098</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Lenard</dc:creator>
  <cp:keywords/>
  <dc:description/>
  <cp:lastModifiedBy>Paweł Lenard</cp:lastModifiedBy>
  <cp:revision>27</cp:revision>
  <dcterms:created xsi:type="dcterms:W3CDTF">2018-09-18T23:03:00Z</dcterms:created>
  <dcterms:modified xsi:type="dcterms:W3CDTF">2021-10-03T22:35:00Z</dcterms:modified>
</cp:coreProperties>
</file>