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B37099" w:rsidRDefault="005271E9" w:rsidP="00684F8A">
      <w:p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>PREZYDENT MIASTA TARNOBRZEGA</w:t>
      </w:r>
    </w:p>
    <w:p w14:paraId="39738735" w14:textId="66FDBAED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E97744">
        <w:rPr>
          <w:rFonts w:ascii="Verdana" w:hAnsi="Verdana"/>
          <w:sz w:val="20"/>
          <w:szCs w:val="27"/>
        </w:rPr>
        <w:t>8</w:t>
      </w:r>
      <w:r w:rsidR="00A61F59">
        <w:rPr>
          <w:rFonts w:ascii="Verdana" w:hAnsi="Verdana"/>
          <w:sz w:val="20"/>
          <w:szCs w:val="27"/>
        </w:rPr>
        <w:t>-</w:t>
      </w:r>
      <w:r w:rsidR="00E97744">
        <w:rPr>
          <w:rFonts w:ascii="Verdana" w:hAnsi="Verdana"/>
          <w:sz w:val="20"/>
          <w:szCs w:val="27"/>
        </w:rPr>
        <w:t>02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97744">
        <w:rPr>
          <w:rFonts w:ascii="Verdana" w:hAnsi="Verdana"/>
          <w:sz w:val="20"/>
          <w:szCs w:val="27"/>
        </w:rPr>
        <w:t>8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3CB2CA48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(t.j.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E97744">
        <w:rPr>
          <w:sz w:val="20"/>
        </w:rPr>
        <w:br/>
      </w:r>
      <w:r w:rsidR="00E97744" w:rsidRPr="002F7D12">
        <w:rPr>
          <w:sz w:val="20"/>
        </w:rPr>
        <w:t>(t.j. Dz. U. z 2024 r. poz. 1112)</w:t>
      </w:r>
      <w:r w:rsidRPr="007F58BD">
        <w:rPr>
          <w:sz w:val="20"/>
        </w:rPr>
        <w:t xml:space="preserve">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6F66FA43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E97744">
        <w:rPr>
          <w:b/>
          <w:bCs/>
          <w:sz w:val="20"/>
        </w:rPr>
        <w:t>01</w:t>
      </w:r>
      <w:r w:rsidR="00D43968">
        <w:rPr>
          <w:b/>
          <w:bCs/>
          <w:sz w:val="20"/>
        </w:rPr>
        <w:t>.0</w:t>
      </w:r>
      <w:r w:rsidR="00E97744">
        <w:rPr>
          <w:b/>
          <w:bCs/>
          <w:sz w:val="20"/>
        </w:rPr>
        <w:t>8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8F7A5E">
        <w:rPr>
          <w:b/>
          <w:bCs/>
          <w:sz w:val="20"/>
        </w:rPr>
        <w:t>4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A51EAF">
        <w:rPr>
          <w:b/>
          <w:bCs/>
          <w:sz w:val="20"/>
        </w:rPr>
        <w:t>Sandomierzu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A51EAF" w:rsidRPr="00327F5F">
        <w:rPr>
          <w:b/>
          <w:bCs/>
          <w:sz w:val="20"/>
          <w:lang w:val="pl"/>
        </w:rPr>
        <w:t>„Przetwarzanie odpadów wielomateriałowych” na działce ewidencyjnej nr 957/40 obręb Machów oraz działce ewidencyjnej nr 277/59 obręb Nagnajów w Tarnobrzegu</w:t>
      </w:r>
      <w:r w:rsidR="00061C7C">
        <w:rPr>
          <w:b/>
          <w:bCs/>
          <w:sz w:val="20"/>
          <w:lang w:val="pl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 xml:space="preserve"> Z up. Prezydenta Miasta</w:t>
      </w:r>
    </w:p>
    <w:p w14:paraId="442B6FFE" w14:textId="54D39BA3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 </w:t>
      </w:r>
      <w:r w:rsidR="00B37099">
        <w:rPr>
          <w:rFonts w:ascii="Verdana" w:hAnsi="Verdana"/>
          <w:color w:val="000000" w:themeColor="text1"/>
          <w:sz w:val="20"/>
        </w:rPr>
        <w:t>Łukasz Maciąg</w:t>
      </w:r>
    </w:p>
    <w:p w14:paraId="51742DC0" w14:textId="77777777" w:rsidR="005271E9" w:rsidRPr="00B37099" w:rsidRDefault="005271E9" w:rsidP="005271E9">
      <w:pPr>
        <w:tabs>
          <w:tab w:val="left" w:pos="1035"/>
        </w:tabs>
        <w:rPr>
          <w:rFonts w:ascii="Verdana" w:hAnsi="Verdana"/>
          <w:color w:val="000000" w:themeColor="text1"/>
          <w:sz w:val="16"/>
          <w:szCs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</w:t>
      </w:r>
      <w:r w:rsidRPr="00B37099">
        <w:rPr>
          <w:rFonts w:ascii="Verdana" w:hAnsi="Verdana"/>
          <w:color w:val="000000" w:themeColor="text1"/>
          <w:sz w:val="16"/>
          <w:szCs w:val="20"/>
        </w:rPr>
        <w:t>Zastępca Naczelnika Wydziału</w:t>
      </w:r>
    </w:p>
    <w:p w14:paraId="2B8A8994" w14:textId="52857870" w:rsidR="00F239DA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  <w:t>Gospodarki Komunalnej i Środowiska</w:t>
      </w:r>
    </w:p>
    <w:p w14:paraId="56A7356E" w14:textId="633A0871" w:rsidR="00F239DA" w:rsidRPr="00B37099" w:rsidRDefault="00F239DA" w:rsidP="002B4D73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</w:p>
    <w:p w14:paraId="67B99D18" w14:textId="77777777" w:rsidR="003B7A44" w:rsidRPr="00B37099" w:rsidRDefault="003B7A44" w:rsidP="003B7A44">
      <w:pPr>
        <w:tabs>
          <w:tab w:val="left" w:pos="1035"/>
        </w:tabs>
        <w:jc w:val="right"/>
        <w:rPr>
          <w:rFonts w:ascii="Verdana" w:hAnsi="Verdana"/>
          <w:color w:val="000000" w:themeColor="text1"/>
          <w:sz w:val="20"/>
        </w:rPr>
      </w:pPr>
    </w:p>
    <w:p w14:paraId="569EA6A3" w14:textId="77777777" w:rsidR="00DA3FF3" w:rsidRPr="00B37099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37099">
        <w:rPr>
          <w:rFonts w:ascii="Verdana" w:hAnsi="Verdana"/>
          <w:color w:val="000000" w:themeColor="text1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61A8CEEA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51DD" w14:textId="77777777" w:rsidR="002B5926" w:rsidRDefault="002B5926" w:rsidP="006660B5">
      <w:r>
        <w:separator/>
      </w:r>
    </w:p>
  </w:endnote>
  <w:endnote w:type="continuationSeparator" w:id="0">
    <w:p w14:paraId="00686A3C" w14:textId="77777777" w:rsidR="002B5926" w:rsidRDefault="002B5926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319F" w14:textId="77777777" w:rsidR="002B5926" w:rsidRDefault="002B5926" w:rsidP="006660B5">
      <w:r>
        <w:separator/>
      </w:r>
    </w:p>
  </w:footnote>
  <w:footnote w:type="continuationSeparator" w:id="0">
    <w:p w14:paraId="0D36A269" w14:textId="77777777" w:rsidR="002B5926" w:rsidRDefault="002B5926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1C7C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2B5926"/>
    <w:rsid w:val="002C3E2B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8F7A5E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1EAF"/>
    <w:rsid w:val="00A56224"/>
    <w:rsid w:val="00A57868"/>
    <w:rsid w:val="00A6046F"/>
    <w:rsid w:val="00A61F59"/>
    <w:rsid w:val="00A869D2"/>
    <w:rsid w:val="00AC4264"/>
    <w:rsid w:val="00AF03CA"/>
    <w:rsid w:val="00AF07AE"/>
    <w:rsid w:val="00AF12B1"/>
    <w:rsid w:val="00B10F60"/>
    <w:rsid w:val="00B17C97"/>
    <w:rsid w:val="00B36ECF"/>
    <w:rsid w:val="00B37099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97744"/>
    <w:rsid w:val="00EB1E7D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10</cp:revision>
  <cp:lastPrinted>2024-08-02T13:19:00Z</cp:lastPrinted>
  <dcterms:created xsi:type="dcterms:W3CDTF">2022-02-17T11:16:00Z</dcterms:created>
  <dcterms:modified xsi:type="dcterms:W3CDTF">2024-08-02T13:33:00Z</dcterms:modified>
</cp:coreProperties>
</file>