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71515" w14:textId="77777777" w:rsidR="005C7A9B" w:rsidRPr="00B61111" w:rsidRDefault="005C7A9B" w:rsidP="005C7A9B">
      <w:pPr>
        <w:rPr>
          <w:rFonts w:ascii="Arial" w:hAnsi="Arial" w:cs="Arial"/>
          <w:sz w:val="24"/>
          <w:szCs w:val="24"/>
        </w:rPr>
      </w:pPr>
      <w:r w:rsidRPr="00B61111">
        <w:rPr>
          <w:rFonts w:ascii="Arial" w:hAnsi="Arial" w:cs="Arial"/>
          <w:sz w:val="24"/>
          <w:szCs w:val="24"/>
        </w:rPr>
        <w:t>Znak: GG-IV.7125.10.2021                                                                                                                             Tarnobrzeg, 21.03.2022 r.</w:t>
      </w:r>
    </w:p>
    <w:p w14:paraId="0FC0814D" w14:textId="77777777" w:rsidR="005C7A9B" w:rsidRPr="00B61111" w:rsidRDefault="005C7A9B" w:rsidP="005C7A9B">
      <w:pPr>
        <w:rPr>
          <w:rFonts w:ascii="Arial" w:hAnsi="Arial" w:cs="Arial"/>
          <w:sz w:val="24"/>
          <w:szCs w:val="24"/>
        </w:rPr>
      </w:pPr>
    </w:p>
    <w:p w14:paraId="672D2310" w14:textId="77777777" w:rsidR="005C7A9B" w:rsidRPr="00B61111" w:rsidRDefault="005C7A9B" w:rsidP="005C7A9B">
      <w:pPr>
        <w:rPr>
          <w:rFonts w:ascii="Arial" w:hAnsi="Arial" w:cs="Arial"/>
          <w:b/>
          <w:sz w:val="24"/>
          <w:szCs w:val="24"/>
        </w:rPr>
      </w:pPr>
      <w:r w:rsidRPr="00B61111">
        <w:rPr>
          <w:rFonts w:ascii="Arial" w:hAnsi="Arial" w:cs="Arial"/>
          <w:b/>
          <w:sz w:val="24"/>
          <w:szCs w:val="24"/>
        </w:rPr>
        <w:t xml:space="preserve">                                                                                                       W Y K A Z </w:t>
      </w:r>
    </w:p>
    <w:p w14:paraId="49A71094" w14:textId="77777777" w:rsidR="005C7A9B" w:rsidRDefault="005C7A9B" w:rsidP="005C7A9B">
      <w:pPr>
        <w:spacing w:line="360" w:lineRule="auto"/>
        <w:jc w:val="both"/>
        <w:rPr>
          <w:rFonts w:ascii="Arial" w:hAnsi="Arial" w:cs="Arial"/>
          <w:sz w:val="24"/>
          <w:szCs w:val="24"/>
        </w:rPr>
      </w:pPr>
    </w:p>
    <w:p w14:paraId="2933C998" w14:textId="77777777" w:rsidR="005C7A9B" w:rsidRPr="00B61111" w:rsidRDefault="005C7A9B" w:rsidP="005C7A9B">
      <w:pPr>
        <w:spacing w:line="360" w:lineRule="auto"/>
        <w:jc w:val="both"/>
        <w:rPr>
          <w:rFonts w:ascii="Arial" w:hAnsi="Arial" w:cs="Arial"/>
          <w:sz w:val="24"/>
          <w:szCs w:val="24"/>
        </w:rPr>
      </w:pPr>
      <w:r w:rsidRPr="00B61111">
        <w:rPr>
          <w:rFonts w:ascii="Arial" w:hAnsi="Arial" w:cs="Arial"/>
          <w:sz w:val="24"/>
          <w:szCs w:val="24"/>
        </w:rPr>
        <w:t xml:space="preserve">Nieruchomości podlegającej sprzedaży zgodnie z Uchwałą Nr LVI/570/2022 Rady Miasta Tarnobrzega z dnia 23.02.2022 r. </w:t>
      </w:r>
      <w:r>
        <w:rPr>
          <w:rFonts w:ascii="Arial" w:hAnsi="Arial" w:cs="Arial"/>
          <w:sz w:val="24"/>
          <w:szCs w:val="24"/>
        </w:rPr>
        <w:t xml:space="preserve">                      </w:t>
      </w:r>
      <w:r w:rsidRPr="00B61111">
        <w:rPr>
          <w:rFonts w:ascii="Arial" w:hAnsi="Arial" w:cs="Arial"/>
          <w:sz w:val="24"/>
          <w:szCs w:val="24"/>
        </w:rPr>
        <w:t>w sprawie zbycia lokalu mieszkalnego nr 11 położonego w budynku przy ul. Marii Dąbrowskiej 16 w Tarnobrzegu, przekazanego na rzecz Gminy Tarnobrzeg przez PKP S.A. wraz z przynależną piwnicą, udziałem w prawie własności gruntu oraz przyznaniem prawa pierwszeństwa najemcy w nabyciu lokalu.</w:t>
      </w:r>
    </w:p>
    <w:p w14:paraId="42C99F2A" w14:textId="77777777" w:rsidR="005C7A9B" w:rsidRDefault="005C7A9B" w:rsidP="005C7A9B">
      <w:pPr>
        <w:spacing w:line="360" w:lineRule="auto"/>
        <w:jc w:val="both"/>
        <w:rPr>
          <w:rFonts w:ascii="Arial" w:hAnsi="Arial" w:cs="Arial"/>
          <w:sz w:val="24"/>
          <w:szCs w:val="24"/>
        </w:rPr>
      </w:pPr>
      <w:r w:rsidRPr="00B61111">
        <w:rPr>
          <w:rFonts w:ascii="Arial" w:hAnsi="Arial" w:cs="Arial"/>
          <w:sz w:val="24"/>
          <w:szCs w:val="24"/>
        </w:rPr>
        <w:t>Lokal mieszkalny</w:t>
      </w:r>
      <w:r w:rsidRPr="00B61111">
        <w:rPr>
          <w:rFonts w:ascii="Arial" w:hAnsi="Arial" w:cs="Arial"/>
          <w:b/>
          <w:sz w:val="24"/>
          <w:szCs w:val="24"/>
        </w:rPr>
        <w:t xml:space="preserve"> </w:t>
      </w:r>
      <w:r w:rsidRPr="00B61111">
        <w:rPr>
          <w:rFonts w:ascii="Arial" w:hAnsi="Arial" w:cs="Arial"/>
          <w:sz w:val="24"/>
          <w:szCs w:val="24"/>
        </w:rPr>
        <w:t xml:space="preserve">położony w Tarnobrzegu przy </w:t>
      </w:r>
      <w:r w:rsidRPr="00B61111">
        <w:rPr>
          <w:rFonts w:ascii="Arial" w:hAnsi="Arial" w:cs="Arial"/>
          <w:b/>
          <w:sz w:val="24"/>
          <w:szCs w:val="24"/>
        </w:rPr>
        <w:t>ul. Marii Dąbrowskiej 16</w:t>
      </w:r>
      <w:r w:rsidRPr="00B61111">
        <w:rPr>
          <w:rFonts w:ascii="Arial" w:hAnsi="Arial" w:cs="Arial"/>
          <w:sz w:val="24"/>
          <w:szCs w:val="24"/>
        </w:rPr>
        <w:t xml:space="preserve"> przeznaczony do zbycia z pierwszeństwem na rzecz najemcy</w:t>
      </w:r>
      <w:r>
        <w:rPr>
          <w:rFonts w:ascii="Arial" w:hAnsi="Arial" w:cs="Arial"/>
          <w:sz w:val="24"/>
          <w:szCs w:val="24"/>
        </w:rPr>
        <w:t xml:space="preserve"> </w:t>
      </w:r>
      <w:r w:rsidRPr="00B61111">
        <w:rPr>
          <w:rFonts w:ascii="Arial" w:hAnsi="Arial" w:cs="Arial"/>
          <w:sz w:val="24"/>
          <w:szCs w:val="24"/>
        </w:rPr>
        <w:t xml:space="preserve">wraz z przynależną piwnicą oraz udziałem w częściach wspólnych budynku oraz gruntu  </w:t>
      </w:r>
      <w:proofErr w:type="spellStart"/>
      <w:r w:rsidRPr="00B61111">
        <w:rPr>
          <w:rFonts w:ascii="Arial" w:hAnsi="Arial" w:cs="Arial"/>
          <w:sz w:val="24"/>
          <w:szCs w:val="24"/>
        </w:rPr>
        <w:t>ozn</w:t>
      </w:r>
      <w:proofErr w:type="spellEnd"/>
      <w:r w:rsidRPr="00B61111">
        <w:rPr>
          <w:rFonts w:ascii="Arial" w:hAnsi="Arial" w:cs="Arial"/>
          <w:sz w:val="24"/>
          <w:szCs w:val="24"/>
        </w:rPr>
        <w:t xml:space="preserve">. nr </w:t>
      </w:r>
      <w:proofErr w:type="spellStart"/>
      <w:r w:rsidRPr="00B61111">
        <w:rPr>
          <w:rFonts w:ascii="Arial" w:hAnsi="Arial" w:cs="Arial"/>
          <w:sz w:val="24"/>
          <w:szCs w:val="24"/>
        </w:rPr>
        <w:t>ewid</w:t>
      </w:r>
      <w:proofErr w:type="spellEnd"/>
      <w:r w:rsidRPr="00B61111">
        <w:rPr>
          <w:rFonts w:ascii="Arial" w:hAnsi="Arial" w:cs="Arial"/>
          <w:sz w:val="24"/>
          <w:szCs w:val="24"/>
        </w:rPr>
        <w:t>. 1237/41 i 2708/4</w:t>
      </w:r>
      <w:r>
        <w:rPr>
          <w:rFonts w:ascii="Arial" w:hAnsi="Arial" w:cs="Arial"/>
          <w:sz w:val="24"/>
          <w:szCs w:val="24"/>
        </w:rPr>
        <w:t xml:space="preserve">                </w:t>
      </w:r>
      <w:r w:rsidRPr="00B61111">
        <w:rPr>
          <w:rFonts w:ascii="Arial" w:hAnsi="Arial" w:cs="Arial"/>
          <w:sz w:val="24"/>
          <w:szCs w:val="24"/>
        </w:rPr>
        <w:t xml:space="preserve"> o łącznej pow. 0,2512 ha objętych księgą wieczystą nr TB1T/00058094/7.</w:t>
      </w:r>
    </w:p>
    <w:p w14:paraId="63115948" w14:textId="2B9B0FDA" w:rsidR="005C7A9B" w:rsidRDefault="005C7A9B"/>
    <w:tbl>
      <w:tblPr>
        <w:tblStyle w:val="Tabela-Siatka"/>
        <w:tblW w:w="0" w:type="auto"/>
        <w:tblLook w:val="04A0" w:firstRow="1" w:lastRow="0" w:firstColumn="1" w:lastColumn="0" w:noHBand="0" w:noVBand="1"/>
        <w:tblCaption w:val="Wykaz nieruchomości podlegającej sprzedaży"/>
        <w:tblDescription w:val="Wykaz nieruchomości podlegającej sprzedaży na rzecz najemcy. "/>
      </w:tblPr>
      <w:tblGrid>
        <w:gridCol w:w="561"/>
        <w:gridCol w:w="1277"/>
        <w:gridCol w:w="1701"/>
        <w:gridCol w:w="1985"/>
        <w:gridCol w:w="3447"/>
        <w:gridCol w:w="1673"/>
        <w:gridCol w:w="1668"/>
        <w:gridCol w:w="1682"/>
      </w:tblGrid>
      <w:tr w:rsidR="005C7A9B" w14:paraId="3C3496E0" w14:textId="77777777" w:rsidTr="00D41BAA">
        <w:tc>
          <w:tcPr>
            <w:tcW w:w="561" w:type="dxa"/>
          </w:tcPr>
          <w:p w14:paraId="664A0741" w14:textId="424AE66D" w:rsidR="005C7A9B" w:rsidRPr="005C7A9B" w:rsidRDefault="005C7A9B">
            <w:pPr>
              <w:rPr>
                <w:rFonts w:ascii="Arial" w:hAnsi="Arial" w:cs="Arial"/>
                <w:sz w:val="24"/>
                <w:szCs w:val="24"/>
              </w:rPr>
            </w:pPr>
            <w:r w:rsidRPr="005C7A9B">
              <w:rPr>
                <w:rFonts w:ascii="Arial" w:hAnsi="Arial" w:cs="Arial"/>
                <w:sz w:val="24"/>
                <w:szCs w:val="24"/>
              </w:rPr>
              <w:t>Lp.</w:t>
            </w:r>
          </w:p>
        </w:tc>
        <w:tc>
          <w:tcPr>
            <w:tcW w:w="1277" w:type="dxa"/>
          </w:tcPr>
          <w:p w14:paraId="410546CB" w14:textId="76F3B7C0" w:rsidR="005C7A9B" w:rsidRPr="005C7A9B" w:rsidRDefault="005C7A9B">
            <w:pPr>
              <w:rPr>
                <w:rFonts w:ascii="Arial" w:hAnsi="Arial" w:cs="Arial"/>
                <w:sz w:val="24"/>
                <w:szCs w:val="24"/>
              </w:rPr>
            </w:pPr>
            <w:r>
              <w:rPr>
                <w:rFonts w:ascii="Arial" w:hAnsi="Arial" w:cs="Arial"/>
                <w:sz w:val="24"/>
                <w:szCs w:val="24"/>
              </w:rPr>
              <w:t>Nr lokalu</w:t>
            </w:r>
          </w:p>
        </w:tc>
        <w:tc>
          <w:tcPr>
            <w:tcW w:w="1701" w:type="dxa"/>
          </w:tcPr>
          <w:p w14:paraId="0279AF18" w14:textId="2BB73C32" w:rsidR="005C7A9B" w:rsidRPr="005C7A9B" w:rsidRDefault="005C7A9B">
            <w:pPr>
              <w:rPr>
                <w:rFonts w:ascii="Arial" w:hAnsi="Arial" w:cs="Arial"/>
                <w:sz w:val="24"/>
                <w:szCs w:val="24"/>
              </w:rPr>
            </w:pPr>
            <w:r>
              <w:rPr>
                <w:rFonts w:ascii="Arial" w:hAnsi="Arial" w:cs="Arial"/>
                <w:sz w:val="24"/>
                <w:szCs w:val="24"/>
              </w:rPr>
              <w:t>Pow. lokalu</w:t>
            </w:r>
          </w:p>
        </w:tc>
        <w:tc>
          <w:tcPr>
            <w:tcW w:w="1985" w:type="dxa"/>
          </w:tcPr>
          <w:p w14:paraId="113EDAED" w14:textId="2F9386E5" w:rsidR="005C7A9B" w:rsidRPr="005C7A9B" w:rsidRDefault="005C7A9B">
            <w:pPr>
              <w:rPr>
                <w:rFonts w:ascii="Arial" w:hAnsi="Arial" w:cs="Arial"/>
                <w:sz w:val="24"/>
                <w:szCs w:val="24"/>
              </w:rPr>
            </w:pPr>
            <w:r>
              <w:rPr>
                <w:rFonts w:ascii="Arial" w:hAnsi="Arial" w:cs="Arial"/>
                <w:sz w:val="24"/>
                <w:szCs w:val="24"/>
              </w:rPr>
              <w:t>Niewydzielona część gruntu</w:t>
            </w:r>
          </w:p>
        </w:tc>
        <w:tc>
          <w:tcPr>
            <w:tcW w:w="3447" w:type="dxa"/>
          </w:tcPr>
          <w:p w14:paraId="33617A36" w14:textId="21D5C36A" w:rsidR="005C7A9B" w:rsidRPr="005C7A9B" w:rsidRDefault="005C7A9B">
            <w:pPr>
              <w:rPr>
                <w:rFonts w:ascii="Arial" w:hAnsi="Arial" w:cs="Arial"/>
                <w:sz w:val="24"/>
                <w:szCs w:val="24"/>
              </w:rPr>
            </w:pPr>
            <w:r>
              <w:rPr>
                <w:rFonts w:ascii="Arial" w:hAnsi="Arial" w:cs="Arial"/>
                <w:sz w:val="24"/>
                <w:szCs w:val="24"/>
              </w:rPr>
              <w:t>Przeznaczenie w miejscowym planie zagospodarowania</w:t>
            </w:r>
          </w:p>
        </w:tc>
        <w:tc>
          <w:tcPr>
            <w:tcW w:w="1673" w:type="dxa"/>
          </w:tcPr>
          <w:p w14:paraId="3D9A385E" w14:textId="0C27EAA0" w:rsidR="005C7A9B" w:rsidRPr="005C7A9B" w:rsidRDefault="005C7A9B">
            <w:pPr>
              <w:rPr>
                <w:rFonts w:ascii="Arial" w:hAnsi="Arial" w:cs="Arial"/>
                <w:sz w:val="24"/>
                <w:szCs w:val="24"/>
              </w:rPr>
            </w:pPr>
            <w:r>
              <w:rPr>
                <w:rFonts w:ascii="Arial" w:hAnsi="Arial" w:cs="Arial"/>
                <w:sz w:val="24"/>
                <w:szCs w:val="24"/>
              </w:rPr>
              <w:t>Forma zbycia</w:t>
            </w:r>
          </w:p>
        </w:tc>
        <w:tc>
          <w:tcPr>
            <w:tcW w:w="1668" w:type="dxa"/>
          </w:tcPr>
          <w:p w14:paraId="60714450" w14:textId="26A5ED0E" w:rsidR="005C7A9B" w:rsidRPr="005C7A9B" w:rsidRDefault="005C7A9B">
            <w:pPr>
              <w:rPr>
                <w:rFonts w:ascii="Arial" w:hAnsi="Arial" w:cs="Arial"/>
                <w:sz w:val="24"/>
                <w:szCs w:val="24"/>
              </w:rPr>
            </w:pPr>
            <w:r>
              <w:rPr>
                <w:rFonts w:ascii="Arial" w:hAnsi="Arial" w:cs="Arial"/>
                <w:sz w:val="24"/>
                <w:szCs w:val="24"/>
              </w:rPr>
              <w:t>Cena lokalu</w:t>
            </w:r>
          </w:p>
        </w:tc>
        <w:tc>
          <w:tcPr>
            <w:tcW w:w="1682" w:type="dxa"/>
          </w:tcPr>
          <w:p w14:paraId="7456ACEB" w14:textId="63C6597B" w:rsidR="005C7A9B" w:rsidRPr="005C7A9B" w:rsidRDefault="005C7A9B">
            <w:pPr>
              <w:rPr>
                <w:rFonts w:ascii="Arial" w:hAnsi="Arial" w:cs="Arial"/>
                <w:sz w:val="24"/>
                <w:szCs w:val="24"/>
              </w:rPr>
            </w:pPr>
            <w:r>
              <w:rPr>
                <w:rFonts w:ascii="Arial" w:hAnsi="Arial" w:cs="Arial"/>
                <w:sz w:val="24"/>
                <w:szCs w:val="24"/>
              </w:rPr>
              <w:t>Cena udziału w gruncie</w:t>
            </w:r>
          </w:p>
        </w:tc>
      </w:tr>
      <w:tr w:rsidR="005C7A9B" w14:paraId="5933615F" w14:textId="77777777" w:rsidTr="00D41BAA">
        <w:trPr>
          <w:trHeight w:val="1008"/>
        </w:trPr>
        <w:tc>
          <w:tcPr>
            <w:tcW w:w="561" w:type="dxa"/>
          </w:tcPr>
          <w:p w14:paraId="488CF19B" w14:textId="4B56648B" w:rsidR="005C7A9B" w:rsidRPr="005C7A9B" w:rsidRDefault="005C7A9B">
            <w:pPr>
              <w:rPr>
                <w:rFonts w:ascii="Arial" w:hAnsi="Arial" w:cs="Arial"/>
                <w:sz w:val="24"/>
                <w:szCs w:val="24"/>
              </w:rPr>
            </w:pPr>
            <w:r>
              <w:rPr>
                <w:rFonts w:ascii="Arial" w:hAnsi="Arial" w:cs="Arial"/>
                <w:sz w:val="24"/>
                <w:szCs w:val="24"/>
              </w:rPr>
              <w:t>1.</w:t>
            </w:r>
          </w:p>
        </w:tc>
        <w:tc>
          <w:tcPr>
            <w:tcW w:w="1277" w:type="dxa"/>
          </w:tcPr>
          <w:p w14:paraId="621DA62B" w14:textId="034DB256" w:rsidR="005C7A9B" w:rsidRPr="005C7A9B" w:rsidRDefault="005C7A9B">
            <w:pPr>
              <w:rPr>
                <w:rFonts w:ascii="Arial" w:hAnsi="Arial" w:cs="Arial"/>
                <w:b/>
                <w:bCs/>
                <w:sz w:val="24"/>
                <w:szCs w:val="24"/>
              </w:rPr>
            </w:pPr>
            <w:r w:rsidRPr="005C7A9B">
              <w:rPr>
                <w:rFonts w:ascii="Arial" w:hAnsi="Arial" w:cs="Arial"/>
                <w:b/>
                <w:bCs/>
                <w:sz w:val="24"/>
                <w:szCs w:val="24"/>
              </w:rPr>
              <w:t>11</w:t>
            </w:r>
          </w:p>
        </w:tc>
        <w:tc>
          <w:tcPr>
            <w:tcW w:w="1701" w:type="dxa"/>
          </w:tcPr>
          <w:p w14:paraId="3AFCD476" w14:textId="77777777" w:rsidR="005C7A9B" w:rsidRPr="004B0F18" w:rsidRDefault="005C7A9B" w:rsidP="005C7A9B">
            <w:pPr>
              <w:rPr>
                <w:rFonts w:ascii="Arial" w:hAnsi="Arial" w:cs="Arial"/>
                <w:sz w:val="24"/>
                <w:vertAlign w:val="superscript"/>
              </w:rPr>
            </w:pPr>
            <w:r w:rsidRPr="004B0F18">
              <w:rPr>
                <w:rFonts w:ascii="Arial" w:hAnsi="Arial" w:cs="Arial"/>
                <w:sz w:val="24"/>
              </w:rPr>
              <w:t>60,25  m</w:t>
            </w:r>
            <w:r w:rsidRPr="004B0F18">
              <w:rPr>
                <w:rFonts w:ascii="Arial" w:hAnsi="Arial" w:cs="Arial"/>
                <w:sz w:val="24"/>
                <w:vertAlign w:val="superscript"/>
              </w:rPr>
              <w:t>2</w:t>
            </w:r>
          </w:p>
          <w:p w14:paraId="267C97D0" w14:textId="5E121614" w:rsidR="005C7A9B" w:rsidRPr="005C7A9B" w:rsidRDefault="005C7A9B">
            <w:pPr>
              <w:rPr>
                <w:rFonts w:ascii="Arial" w:hAnsi="Arial" w:cs="Arial"/>
                <w:sz w:val="24"/>
                <w:vertAlign w:val="superscript"/>
              </w:rPr>
            </w:pPr>
            <w:r w:rsidRPr="004B0F18">
              <w:rPr>
                <w:rFonts w:ascii="Arial" w:hAnsi="Arial" w:cs="Arial"/>
                <w:sz w:val="24"/>
              </w:rPr>
              <w:t xml:space="preserve">+ piwnica </w:t>
            </w:r>
            <w:r w:rsidRPr="004B0F18">
              <w:rPr>
                <w:rFonts w:ascii="Arial" w:hAnsi="Arial" w:cs="Arial"/>
                <w:sz w:val="24"/>
              </w:rPr>
              <w:br/>
              <w:t>o pow. 5,37 m</w:t>
            </w:r>
            <w:r w:rsidRPr="004B0F18">
              <w:rPr>
                <w:rFonts w:ascii="Arial" w:hAnsi="Arial" w:cs="Arial"/>
                <w:sz w:val="24"/>
                <w:vertAlign w:val="superscript"/>
              </w:rPr>
              <w:t>2</w:t>
            </w:r>
          </w:p>
        </w:tc>
        <w:tc>
          <w:tcPr>
            <w:tcW w:w="1985" w:type="dxa"/>
          </w:tcPr>
          <w:p w14:paraId="14D8D863" w14:textId="34415EB7" w:rsidR="005C7A9B" w:rsidRPr="005C7A9B" w:rsidRDefault="005C7A9B">
            <w:pPr>
              <w:rPr>
                <w:rFonts w:ascii="Arial" w:hAnsi="Arial" w:cs="Arial"/>
                <w:sz w:val="24"/>
                <w:szCs w:val="24"/>
              </w:rPr>
            </w:pPr>
            <w:r w:rsidRPr="004B0F18">
              <w:rPr>
                <w:rFonts w:ascii="Arial" w:hAnsi="Arial" w:cs="Arial"/>
                <w:sz w:val="24"/>
              </w:rPr>
              <w:t>6562/237811</w:t>
            </w:r>
          </w:p>
        </w:tc>
        <w:tc>
          <w:tcPr>
            <w:tcW w:w="3447" w:type="dxa"/>
          </w:tcPr>
          <w:p w14:paraId="2DEC77B9" w14:textId="77777777" w:rsidR="005C7A9B" w:rsidRPr="004B0F18" w:rsidRDefault="005C7A9B" w:rsidP="005C7A9B">
            <w:pPr>
              <w:rPr>
                <w:rFonts w:ascii="Arial" w:hAnsi="Arial" w:cs="Arial"/>
                <w:sz w:val="24"/>
              </w:rPr>
            </w:pPr>
            <w:r w:rsidRPr="004B0F18">
              <w:rPr>
                <w:rFonts w:ascii="Arial" w:hAnsi="Arial" w:cs="Arial"/>
                <w:sz w:val="24"/>
              </w:rPr>
              <w:t>Nie obowiązuje miejscowy</w:t>
            </w:r>
          </w:p>
          <w:p w14:paraId="63B9B28C" w14:textId="77777777" w:rsidR="005C7A9B" w:rsidRPr="004B0F18" w:rsidRDefault="005C7A9B" w:rsidP="005C7A9B">
            <w:pPr>
              <w:jc w:val="both"/>
              <w:rPr>
                <w:rFonts w:ascii="Arial" w:hAnsi="Arial" w:cs="Arial"/>
                <w:sz w:val="24"/>
              </w:rPr>
            </w:pPr>
            <w:r w:rsidRPr="004B0F18">
              <w:rPr>
                <w:rFonts w:ascii="Arial" w:hAnsi="Arial" w:cs="Arial"/>
                <w:sz w:val="24"/>
              </w:rPr>
              <w:t xml:space="preserve">plan zagospodarowania </w:t>
            </w:r>
          </w:p>
          <w:p w14:paraId="6603837E" w14:textId="77777777" w:rsidR="005C7A9B" w:rsidRPr="004B0F18" w:rsidRDefault="005C7A9B" w:rsidP="005C7A9B">
            <w:pPr>
              <w:jc w:val="both"/>
              <w:rPr>
                <w:rFonts w:ascii="Arial" w:hAnsi="Arial" w:cs="Arial"/>
                <w:sz w:val="24"/>
              </w:rPr>
            </w:pPr>
            <w:r w:rsidRPr="004B0F18">
              <w:rPr>
                <w:rFonts w:ascii="Arial" w:hAnsi="Arial" w:cs="Arial"/>
                <w:sz w:val="24"/>
              </w:rPr>
              <w:t>przestrzennego.</w:t>
            </w:r>
          </w:p>
          <w:p w14:paraId="2FD8626C" w14:textId="77777777" w:rsidR="005C7A9B" w:rsidRPr="004B0F18" w:rsidRDefault="005C7A9B" w:rsidP="005C7A9B">
            <w:pPr>
              <w:rPr>
                <w:rFonts w:ascii="Arial" w:hAnsi="Arial" w:cs="Arial"/>
                <w:sz w:val="24"/>
              </w:rPr>
            </w:pPr>
            <w:r w:rsidRPr="004B0F18">
              <w:rPr>
                <w:rFonts w:ascii="Arial" w:hAnsi="Arial" w:cs="Arial"/>
                <w:sz w:val="24"/>
              </w:rPr>
              <w:t>Teren istniejącej zabudowy</w:t>
            </w:r>
          </w:p>
          <w:p w14:paraId="5DF20EED" w14:textId="54B9E800" w:rsidR="005C7A9B" w:rsidRPr="005C7A9B" w:rsidRDefault="005C7A9B" w:rsidP="005C7A9B">
            <w:pPr>
              <w:rPr>
                <w:rFonts w:ascii="Arial" w:hAnsi="Arial" w:cs="Arial"/>
                <w:sz w:val="24"/>
                <w:szCs w:val="24"/>
              </w:rPr>
            </w:pPr>
            <w:r w:rsidRPr="004B0F18">
              <w:rPr>
                <w:rFonts w:ascii="Arial" w:hAnsi="Arial" w:cs="Arial"/>
                <w:sz w:val="24"/>
              </w:rPr>
              <w:t>mieszkaniowej wielorodzinnej</w:t>
            </w:r>
            <w:r w:rsidR="008978FC">
              <w:rPr>
                <w:rFonts w:ascii="Arial" w:hAnsi="Arial" w:cs="Arial"/>
                <w:sz w:val="24"/>
              </w:rPr>
              <w:t>.</w:t>
            </w:r>
          </w:p>
        </w:tc>
        <w:tc>
          <w:tcPr>
            <w:tcW w:w="1673" w:type="dxa"/>
          </w:tcPr>
          <w:p w14:paraId="2A338672" w14:textId="2FE1054E" w:rsidR="005C7A9B" w:rsidRPr="005C7A9B" w:rsidRDefault="005C7A9B">
            <w:pPr>
              <w:rPr>
                <w:rFonts w:ascii="Arial" w:hAnsi="Arial" w:cs="Arial"/>
                <w:sz w:val="24"/>
                <w:szCs w:val="24"/>
              </w:rPr>
            </w:pPr>
            <w:r w:rsidRPr="004B0F18">
              <w:rPr>
                <w:rFonts w:ascii="Arial" w:hAnsi="Arial" w:cs="Arial"/>
                <w:sz w:val="24"/>
              </w:rPr>
              <w:t xml:space="preserve">   sprzedaż</w:t>
            </w:r>
          </w:p>
        </w:tc>
        <w:tc>
          <w:tcPr>
            <w:tcW w:w="1668" w:type="dxa"/>
          </w:tcPr>
          <w:p w14:paraId="15B98FEB" w14:textId="4C855E9A" w:rsidR="005C7A9B" w:rsidRPr="005C7A9B" w:rsidRDefault="005C7A9B">
            <w:pPr>
              <w:rPr>
                <w:rFonts w:ascii="Arial" w:hAnsi="Arial" w:cs="Arial"/>
                <w:sz w:val="24"/>
                <w:szCs w:val="24"/>
              </w:rPr>
            </w:pPr>
            <w:r w:rsidRPr="004B0F18">
              <w:rPr>
                <w:rFonts w:ascii="Arial" w:hAnsi="Arial" w:cs="Arial"/>
                <w:sz w:val="24"/>
              </w:rPr>
              <w:t>226.000,-zł.</w:t>
            </w:r>
          </w:p>
        </w:tc>
        <w:tc>
          <w:tcPr>
            <w:tcW w:w="1682" w:type="dxa"/>
          </w:tcPr>
          <w:p w14:paraId="0AD2EF4F" w14:textId="23CDC27A" w:rsidR="005C7A9B" w:rsidRPr="005C7A9B" w:rsidRDefault="005C7A9B">
            <w:pPr>
              <w:rPr>
                <w:rFonts w:ascii="Arial" w:hAnsi="Arial" w:cs="Arial"/>
                <w:sz w:val="24"/>
                <w:szCs w:val="24"/>
              </w:rPr>
            </w:pPr>
            <w:r w:rsidRPr="004B0F18">
              <w:rPr>
                <w:rFonts w:ascii="Arial" w:hAnsi="Arial" w:cs="Arial"/>
                <w:sz w:val="24"/>
              </w:rPr>
              <w:t>14.000,-zł.</w:t>
            </w:r>
          </w:p>
        </w:tc>
      </w:tr>
    </w:tbl>
    <w:p w14:paraId="6A71E198" w14:textId="77777777" w:rsidR="005C7A9B" w:rsidRDefault="005C7A9B" w:rsidP="005C7A9B">
      <w:pPr>
        <w:spacing w:line="360" w:lineRule="auto"/>
        <w:jc w:val="both"/>
        <w:rPr>
          <w:rFonts w:ascii="Arial" w:hAnsi="Arial" w:cs="Arial"/>
          <w:sz w:val="24"/>
          <w:szCs w:val="24"/>
        </w:rPr>
      </w:pPr>
    </w:p>
    <w:p w14:paraId="0C2DB34C" w14:textId="5D283479" w:rsidR="005C7A9B" w:rsidRDefault="005C7A9B" w:rsidP="005C7A9B">
      <w:pPr>
        <w:spacing w:line="360" w:lineRule="auto"/>
        <w:jc w:val="both"/>
        <w:rPr>
          <w:rFonts w:ascii="Arial" w:hAnsi="Arial" w:cs="Arial"/>
          <w:sz w:val="24"/>
          <w:szCs w:val="24"/>
        </w:rPr>
      </w:pPr>
      <w:r w:rsidRPr="00B61111">
        <w:rPr>
          <w:rFonts w:ascii="Arial" w:hAnsi="Arial" w:cs="Arial"/>
          <w:sz w:val="24"/>
          <w:szCs w:val="24"/>
        </w:rPr>
        <w:t>Zgodnie z § 9 uchwały Rady Miasta Tarnobrzega Nr XL/528/2013 z dnia 25 kwietnia 2013 r. najemca nabywający lokal mieszkalny zobowiązany jest zwrócić gminie środki zgromadzone na funduszu remontowym, przypadające na ten lokal. Zobowiązanie dotyczy tych środków, które nie zostały dotychczas wykorzystane na remont nieruchomości wspólnej i nadal pozostają na wyodrębnionym koncie funduszu remontowego wspólnoty.</w:t>
      </w:r>
    </w:p>
    <w:p w14:paraId="50442C3F" w14:textId="77777777" w:rsidR="005C7A9B" w:rsidRPr="00B61111" w:rsidRDefault="005C7A9B" w:rsidP="005C7A9B">
      <w:pPr>
        <w:spacing w:line="360" w:lineRule="auto"/>
        <w:jc w:val="both"/>
        <w:rPr>
          <w:rFonts w:ascii="Arial" w:hAnsi="Arial" w:cs="Arial"/>
          <w:sz w:val="24"/>
          <w:szCs w:val="24"/>
        </w:rPr>
      </w:pPr>
      <w:r w:rsidRPr="00B61111">
        <w:rPr>
          <w:rFonts w:ascii="Arial" w:hAnsi="Arial" w:cs="Arial"/>
          <w:sz w:val="24"/>
          <w:szCs w:val="24"/>
        </w:rPr>
        <w:t xml:space="preserve">Zgodnie z art. 35 ust. 2 pkt 12 ustawy z dnia 21 sierpnia 1997 r. o gospodarce nieruchomościami / </w:t>
      </w:r>
      <w:proofErr w:type="spellStart"/>
      <w:r w:rsidRPr="00B61111">
        <w:rPr>
          <w:rFonts w:ascii="Arial" w:hAnsi="Arial" w:cs="Arial"/>
          <w:sz w:val="24"/>
          <w:szCs w:val="24"/>
        </w:rPr>
        <w:t>t.j</w:t>
      </w:r>
      <w:proofErr w:type="spellEnd"/>
      <w:r w:rsidRPr="00B61111">
        <w:rPr>
          <w:rFonts w:ascii="Arial" w:hAnsi="Arial" w:cs="Arial"/>
          <w:sz w:val="24"/>
          <w:szCs w:val="24"/>
        </w:rPr>
        <w:t xml:space="preserve">. Dz. U. z 2021 r. poz. 1899 ze </w:t>
      </w:r>
      <w:r w:rsidRPr="00B61111">
        <w:rPr>
          <w:rFonts w:ascii="Arial" w:hAnsi="Arial" w:cs="Arial"/>
          <w:sz w:val="24"/>
          <w:szCs w:val="24"/>
        </w:rPr>
        <w:lastRenderedPageBreak/>
        <w:t xml:space="preserve">zm./ termin do złożenia wniosku przez osoby, którym przysługuje pierwszeństwo w nabyciu w/wym. nieruchomości w oparciu </w:t>
      </w:r>
      <w:r>
        <w:rPr>
          <w:rFonts w:ascii="Arial" w:hAnsi="Arial" w:cs="Arial"/>
          <w:sz w:val="24"/>
          <w:szCs w:val="24"/>
        </w:rPr>
        <w:t xml:space="preserve">                     </w:t>
      </w:r>
      <w:r w:rsidRPr="00B61111">
        <w:rPr>
          <w:rFonts w:ascii="Arial" w:hAnsi="Arial" w:cs="Arial"/>
          <w:sz w:val="24"/>
          <w:szCs w:val="24"/>
        </w:rPr>
        <w:t>o przepisy art. 34 ust. 1 pkt 1 i pkt 2 cyt. wyżej ustawy / przysługuje im roszczenie o nabycie nieruchomości z mocy niniejszej ustawy lub odrębnych przepisów, są  poprzednimi właścicielami zbywanej nieruchomości pozbawionymi prawa własności tej nieruchomości przed dniem 5 grudnia 1990 r., albo jej spadkobiercami / wynosi 6 tygodni od dnia wywieszenia niniejszego wykazu.</w:t>
      </w:r>
    </w:p>
    <w:p w14:paraId="62624B38" w14:textId="77777777" w:rsidR="005C7A9B" w:rsidRPr="00B61111" w:rsidRDefault="005C7A9B" w:rsidP="005C7A9B">
      <w:pPr>
        <w:spacing w:line="360" w:lineRule="auto"/>
        <w:jc w:val="both"/>
        <w:rPr>
          <w:rFonts w:ascii="Arial" w:hAnsi="Arial" w:cs="Arial"/>
          <w:sz w:val="24"/>
          <w:szCs w:val="24"/>
        </w:rPr>
      </w:pPr>
      <w:r w:rsidRPr="00B61111">
        <w:rPr>
          <w:rFonts w:ascii="Arial" w:hAnsi="Arial" w:cs="Arial"/>
          <w:sz w:val="24"/>
          <w:szCs w:val="24"/>
        </w:rPr>
        <w:t>Wykaz niniejszy wywieszono na okres 21 dni tj. od dnia 23.03.2022 r. do 13.04.2022 r.</w:t>
      </w:r>
    </w:p>
    <w:p w14:paraId="6FEC977B" w14:textId="77777777" w:rsidR="005C7A9B" w:rsidRDefault="005C7A9B" w:rsidP="005C7A9B">
      <w:pPr>
        <w:spacing w:line="360" w:lineRule="auto"/>
        <w:rPr>
          <w:rFonts w:ascii="Arial" w:hAnsi="Arial" w:cs="Arial"/>
          <w:sz w:val="24"/>
          <w:szCs w:val="24"/>
        </w:rPr>
      </w:pPr>
      <w:r w:rsidRPr="00B61111">
        <w:rPr>
          <w:rFonts w:ascii="Arial" w:hAnsi="Arial" w:cs="Arial"/>
          <w:sz w:val="24"/>
          <w:szCs w:val="24"/>
        </w:rPr>
        <w:t xml:space="preserve">                                                                                                                                                                           </w:t>
      </w:r>
    </w:p>
    <w:p w14:paraId="627C385A" w14:textId="77777777" w:rsidR="005C7A9B" w:rsidRDefault="005C7A9B" w:rsidP="005C7A9B">
      <w:pPr>
        <w:spacing w:line="360" w:lineRule="auto"/>
        <w:rPr>
          <w:rFonts w:ascii="Arial" w:hAnsi="Arial" w:cs="Arial"/>
          <w:sz w:val="24"/>
          <w:szCs w:val="24"/>
        </w:rPr>
      </w:pPr>
    </w:p>
    <w:p w14:paraId="528AB979" w14:textId="77777777" w:rsidR="005C7A9B" w:rsidRPr="00B61111" w:rsidRDefault="005C7A9B" w:rsidP="005C7A9B">
      <w:pPr>
        <w:spacing w:line="360" w:lineRule="auto"/>
        <w:rPr>
          <w:rFonts w:ascii="Arial" w:hAnsi="Arial" w:cs="Arial"/>
          <w:sz w:val="24"/>
          <w:szCs w:val="24"/>
        </w:rPr>
      </w:pPr>
    </w:p>
    <w:p w14:paraId="2EFA3C90" w14:textId="77777777" w:rsidR="005C7A9B" w:rsidRPr="004B10D0" w:rsidRDefault="005C7A9B" w:rsidP="005C7A9B">
      <w:pPr>
        <w:rPr>
          <w:rFonts w:ascii="Arial" w:hAnsi="Arial" w:cs="Arial"/>
        </w:rPr>
      </w:pPr>
      <w:r w:rsidRPr="004B10D0">
        <w:rPr>
          <w:rFonts w:ascii="Arial" w:hAnsi="Arial" w:cs="Arial"/>
        </w:rPr>
        <w:t xml:space="preserve">                                                                                                                                                                                  z up. Prezydenta Miasta </w:t>
      </w:r>
    </w:p>
    <w:p w14:paraId="50F21F7A" w14:textId="77777777" w:rsidR="005C7A9B" w:rsidRPr="004B10D0" w:rsidRDefault="005C7A9B" w:rsidP="005C7A9B">
      <w:pPr>
        <w:rPr>
          <w:rFonts w:ascii="Arial" w:hAnsi="Arial" w:cs="Arial"/>
        </w:rPr>
      </w:pPr>
      <w:r w:rsidRPr="004B10D0">
        <w:rPr>
          <w:rFonts w:ascii="Arial" w:hAnsi="Arial" w:cs="Arial"/>
        </w:rPr>
        <w:t xml:space="preserve">                                                                                                                                                                               Zastępca Naczelnika Wydziału </w:t>
      </w:r>
    </w:p>
    <w:p w14:paraId="73AE69E1" w14:textId="77777777" w:rsidR="005C7A9B" w:rsidRPr="004B10D0" w:rsidRDefault="005C7A9B" w:rsidP="005C7A9B">
      <w:pPr>
        <w:rPr>
          <w:rFonts w:ascii="Arial" w:hAnsi="Arial" w:cs="Arial"/>
        </w:rPr>
      </w:pPr>
      <w:r w:rsidRPr="004B10D0">
        <w:rPr>
          <w:rFonts w:ascii="Arial" w:hAnsi="Arial" w:cs="Arial"/>
        </w:rPr>
        <w:t xml:space="preserve">                                                                                                                                                                              Geodezji i Gospodarki Gruntami</w:t>
      </w:r>
    </w:p>
    <w:p w14:paraId="76BBD8DC" w14:textId="0520BF6C" w:rsidR="005C7A9B" w:rsidRDefault="005C7A9B" w:rsidP="005C7A9B">
      <w:r w:rsidRPr="004B10D0">
        <w:rPr>
          <w:rFonts w:ascii="Arial" w:hAnsi="Arial" w:cs="Arial"/>
        </w:rPr>
        <w:t xml:space="preserve">                                                                                                                                                                                    Małgorzata Jasłowska    </w:t>
      </w:r>
    </w:p>
    <w:sectPr w:rsidR="005C7A9B" w:rsidSect="005C7A9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F03"/>
    <w:rsid w:val="00060C2B"/>
    <w:rsid w:val="00126431"/>
    <w:rsid w:val="00491F03"/>
    <w:rsid w:val="005C7A9B"/>
    <w:rsid w:val="007A0602"/>
    <w:rsid w:val="008976EA"/>
    <w:rsid w:val="008978FC"/>
    <w:rsid w:val="00A010FC"/>
    <w:rsid w:val="00B108F3"/>
    <w:rsid w:val="00B807A6"/>
    <w:rsid w:val="00D41BAA"/>
    <w:rsid w:val="00DD1C0B"/>
    <w:rsid w:val="00E809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22A"/>
  <w15:chartTrackingRefBased/>
  <w15:docId w15:val="{D8E63456-28DD-415B-985D-313460159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7A9B"/>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C7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507</Words>
  <Characters>3043</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Kamysz-Turbak</dc:creator>
  <cp:keywords/>
  <dc:description/>
  <cp:lastModifiedBy>UM Tarnobrzeg</cp:lastModifiedBy>
  <cp:revision>3</cp:revision>
  <dcterms:created xsi:type="dcterms:W3CDTF">2022-03-25T09:43:00Z</dcterms:created>
  <dcterms:modified xsi:type="dcterms:W3CDTF">2022-03-25T09:45:00Z</dcterms:modified>
</cp:coreProperties>
</file>