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95CCF86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</w:t>
      </w:r>
      <w:r w:rsidR="00516C67"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516C67">
        <w:rPr>
          <w:rFonts w:ascii="Times New Roman" w:hAnsi="Times New Roman" w:cs="Times New Roman"/>
          <w:sz w:val="24"/>
          <w:szCs w:val="24"/>
          <w:lang w:val="pl"/>
        </w:rPr>
        <w:t>1710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41F37EAE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4A7AB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rehabilitacji ruchowej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277170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</w:t>
      </w:r>
      <w:r w:rsidR="007625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311 dni.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CoV-2 usługa, na wyraźne polecenie rodziców/opiekunów prawnych uczestnika terapii,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może być świadczona w formie zdalnej z zachowaniem odpowiednio stosowanych zasad i reguł dotyczących usługi świadczonej bezpośrednio.</w:t>
      </w:r>
    </w:p>
    <w:p w14:paraId="467EE0ED" w14:textId="75277060" w:rsidR="00E86DFD" w:rsidRPr="00516C67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4A7AB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A7AB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rehabilitantów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3D4A68" w:rsidRPr="003D4A6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E86DFD" w:rsidRPr="003D4A6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34DCF0FE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4B5504">
        <w:rPr>
          <w:bCs/>
          <w:color w:val="000000" w:themeColor="text1"/>
          <w:szCs w:val="24"/>
          <w:lang w:eastAsia="ar-SA"/>
        </w:rPr>
        <w:t xml:space="preserve">terapii psychologicznej </w:t>
      </w:r>
      <w:r w:rsidRPr="00E86DFD">
        <w:rPr>
          <w:bCs/>
          <w:color w:val="000000" w:themeColor="text1"/>
          <w:szCs w:val="24"/>
          <w:lang w:eastAsia="ar-SA"/>
        </w:rPr>
        <w:t>należeć będzie:</w:t>
      </w:r>
    </w:p>
    <w:p w14:paraId="79A7F516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 xml:space="preserve">rehabilitacja dzieci na podstawie opinii z poradni psychologiczno-pedagogicznej, orzeczeń   </w:t>
      </w:r>
      <w:r w:rsidRPr="004A7ABA">
        <w:rPr>
          <w:color w:val="000000" w:themeColor="text1"/>
        </w:rPr>
        <w:br/>
        <w:t xml:space="preserve">  i zaświadczeń  lekarskich,</w:t>
      </w:r>
    </w:p>
    <w:p w14:paraId="3B724135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uczestnictwo w terapii grupowej i indywidualnej dzieci objętych rehabilitacją ruchową,</w:t>
      </w:r>
    </w:p>
    <w:p w14:paraId="293C5D9B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konsultacje z innymi specjalistami programu „Za życiem”, nauczycielami i rodzicami,</w:t>
      </w:r>
    </w:p>
    <w:p w14:paraId="0BDFC480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prowadzenie dokumentacji w zakresie rehabilitacji,</w:t>
      </w:r>
    </w:p>
    <w:p w14:paraId="22821707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prowadzenie gimnastyki korekcyjno-kompensacyjnej oraz masażu.</w:t>
      </w:r>
    </w:p>
    <w:p w14:paraId="73BA27AE" w14:textId="67BD7795" w:rsidR="004A7ABA" w:rsidRPr="004A7ABA" w:rsidRDefault="004A7ABA" w:rsidP="004A7ABA">
      <w:pPr>
        <w:pStyle w:val="NormalnyWeb"/>
        <w:numPr>
          <w:ilvl w:val="0"/>
          <w:numId w:val="22"/>
        </w:numPr>
        <w:spacing w:after="0" w:line="276" w:lineRule="auto"/>
        <w:jc w:val="both"/>
        <w:rPr>
          <w:color w:val="000000" w:themeColor="text1"/>
        </w:rPr>
      </w:pPr>
      <w:r w:rsidRPr="004A7ABA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z realizacji godzin. </w:t>
      </w:r>
    </w:p>
    <w:p w14:paraId="47912AA2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 w:line="276" w:lineRule="auto"/>
        <w:jc w:val="both"/>
        <w:rPr>
          <w:color w:val="000000" w:themeColor="text1"/>
        </w:rPr>
      </w:pPr>
      <w:r w:rsidRPr="004A7ABA">
        <w:rPr>
          <w:color w:val="000000" w:themeColor="text1"/>
        </w:rPr>
        <w:t>opracowywanie indywidualnych form wsparcia terapeutycznego dla uczestników, programów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076FEADD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550BB8">
        <w:rPr>
          <w:rFonts w:eastAsia="Calibri"/>
          <w:b/>
          <w:szCs w:val="24"/>
          <w:lang w:val="pl-PL" w:eastAsia="en-US"/>
        </w:rPr>
        <w:t xml:space="preserve">rehabilitacji ruchowej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444F1D8F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550BB8">
        <w:rPr>
          <w:rFonts w:eastAsia="Calibri"/>
          <w:szCs w:val="24"/>
          <w:lang w:val="pl-PL" w:eastAsia="en-US"/>
        </w:rPr>
        <w:t>rehabilitacji ruchowej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3D4A68" w:rsidRPr="003D4A68">
        <w:rPr>
          <w:rFonts w:eastAsia="Calibri"/>
          <w:color w:val="000000" w:themeColor="text1"/>
          <w:szCs w:val="24"/>
          <w:lang w:val="pl-PL" w:eastAsia="en-US"/>
        </w:rPr>
        <w:t>5</w:t>
      </w:r>
      <w:r w:rsidR="00640691" w:rsidRPr="003D4A68">
        <w:rPr>
          <w:rFonts w:eastAsia="Calibri"/>
          <w:color w:val="000000" w:themeColor="text1"/>
          <w:szCs w:val="24"/>
          <w:lang w:val="pl-PL" w:eastAsia="en-US"/>
        </w:rPr>
        <w:t xml:space="preserve">00 </w:t>
      </w:r>
      <w:r w:rsidRPr="003D4A68">
        <w:rPr>
          <w:rFonts w:eastAsia="Calibri"/>
          <w:color w:val="000000" w:themeColor="text1"/>
          <w:szCs w:val="24"/>
          <w:lang w:val="pl-PL" w:eastAsia="en-US"/>
        </w:rPr>
        <w:t xml:space="preserve">godzin </w:t>
      </w:r>
      <w:r w:rsidRPr="00CA11E9">
        <w:rPr>
          <w:rFonts w:eastAsia="Calibri"/>
          <w:szCs w:val="24"/>
          <w:lang w:val="pl-PL" w:eastAsia="en-US"/>
        </w:rPr>
        <w:t xml:space="preserve">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E0E347" w14:textId="77777777" w:rsidR="00516C67" w:rsidRDefault="006A5F9B" w:rsidP="00516C67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516C67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0E7BE187" w14:textId="77777777" w:rsidR="00516C67" w:rsidRDefault="00516C67" w:rsidP="00516C67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4187BD80" w14:textId="77777777" w:rsidR="00516C67" w:rsidRDefault="00516C67" w:rsidP="00516C67">
      <w:pPr>
        <w:widowControl w:val="0"/>
        <w:numPr>
          <w:ilvl w:val="3"/>
          <w:numId w:val="23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0F7DBFF4" w14:textId="77777777" w:rsidR="00516C67" w:rsidRDefault="00516C67" w:rsidP="00516C67">
      <w:pPr>
        <w:widowControl w:val="0"/>
        <w:numPr>
          <w:ilvl w:val="3"/>
          <w:numId w:val="23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6639AF0F" w14:textId="77777777" w:rsidR="00516C67" w:rsidRDefault="00516C67" w:rsidP="00516C67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DFDADDC" w14:textId="77777777" w:rsidR="00516C67" w:rsidRDefault="00516C67" w:rsidP="00516C67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Wykonawcę,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wydłuży termin wykonania zamówienia o liczbę dni, którą uzna za uzasadnioną.</w:t>
      </w:r>
    </w:p>
    <w:p w14:paraId="1803C1D7" w14:textId="77777777" w:rsidR="00516C67" w:rsidRDefault="00516C67" w:rsidP="00516C67">
      <w:pPr>
        <w:spacing w:line="240" w:lineRule="auto"/>
        <w:ind w:left="360" w:hanging="21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wynagrodzenia:</w:t>
      </w:r>
    </w:p>
    <w:p w14:paraId="633024AD" w14:textId="77777777" w:rsidR="00516C67" w:rsidRDefault="00516C67" w:rsidP="00516C67">
      <w:pPr>
        <w:widowControl w:val="0"/>
        <w:numPr>
          <w:ilvl w:val="4"/>
          <w:numId w:val="23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48FBFD4E" w14:textId="77777777" w:rsidR="00516C67" w:rsidRDefault="00516C67" w:rsidP="00516C67">
      <w:pPr>
        <w:widowControl w:val="0"/>
        <w:numPr>
          <w:ilvl w:val="5"/>
          <w:numId w:val="23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063167DD" w14:textId="77777777" w:rsidR="00516C67" w:rsidRDefault="00516C67" w:rsidP="00516C67">
      <w:pPr>
        <w:widowControl w:val="0"/>
        <w:numPr>
          <w:ilvl w:val="5"/>
          <w:numId w:val="23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306A4A8D" w14:textId="77777777" w:rsidR="00516C67" w:rsidRDefault="00516C67" w:rsidP="00516C67">
      <w:pPr>
        <w:widowControl w:val="0"/>
        <w:numPr>
          <w:ilvl w:val="4"/>
          <w:numId w:val="23"/>
        </w:numPr>
        <w:tabs>
          <w:tab w:val="left" w:pos="964"/>
        </w:tabs>
        <w:spacing w:after="29" w:line="240" w:lineRule="auto"/>
        <w:ind w:left="70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78BABEB6" w14:textId="77777777" w:rsidR="00516C67" w:rsidRDefault="00516C67" w:rsidP="00516C67">
      <w:pPr>
        <w:pStyle w:val="Akapitzlist"/>
        <w:numPr>
          <w:ilvl w:val="5"/>
          <w:numId w:val="23"/>
        </w:numPr>
        <w:ind w:left="1134" w:hanging="41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pod warunkiem, że zmiany te będą miały istotny wpływ na koszty wykonania zamówienia przez Wykonawcę.</w:t>
      </w:r>
    </w:p>
    <w:p w14:paraId="2F3354DD" w14:textId="77777777" w:rsidR="00516C67" w:rsidRDefault="00516C67" w:rsidP="00516C67">
      <w:pPr>
        <w:pStyle w:val="Akapitzlist"/>
        <w:numPr>
          <w:ilvl w:val="3"/>
          <w:numId w:val="23"/>
        </w:numPr>
        <w:ind w:hanging="29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5F4B68CB" w14:textId="77777777" w:rsidR="00516C67" w:rsidRDefault="00516C67" w:rsidP="00516C67">
      <w:pPr>
        <w:pStyle w:val="Akapitzlist"/>
        <w:numPr>
          <w:ilvl w:val="2"/>
          <w:numId w:val="24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6B000AA9" w14:textId="77777777" w:rsidR="00516C67" w:rsidRDefault="00516C67" w:rsidP="00516C67">
      <w:pPr>
        <w:pStyle w:val="Akapitzlist"/>
        <w:numPr>
          <w:ilvl w:val="2"/>
          <w:numId w:val="24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lastRenderedPageBreak/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materiałów/kosztów wynikających z komunikatu Prezesa GUS za miesiąc, w którym została złożona oferta Zleceniobiorcy,</w:t>
      </w:r>
    </w:p>
    <w:p w14:paraId="7BA5EA34" w14:textId="77777777" w:rsidR="00516C67" w:rsidRDefault="00516C67" w:rsidP="00516C67">
      <w:pPr>
        <w:pStyle w:val="Akapitzlist"/>
        <w:numPr>
          <w:ilvl w:val="2"/>
          <w:numId w:val="24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eastAsia="Arial"/>
          <w:szCs w:val="24"/>
          <w:lang w:val="pl-PL"/>
        </w:rPr>
        <w:br/>
        <w:t xml:space="preserve">i dokumentów dołączonych do tego wniosku potwierdzających m.in. rzeczywiste zastosowanie poszczególnych materiałów/poniesienie poszczególnych kosztów </w:t>
      </w:r>
      <w:r>
        <w:rPr>
          <w:rFonts w:eastAsia="Arial"/>
          <w:szCs w:val="24"/>
          <w:lang w:val="pl-PL"/>
        </w:rPr>
        <w:br/>
        <w:t xml:space="preserve">w ramach niniejszego zamówienia, a także na podstawie komunikatów Prezesa GUS, o których mowa w pkt b) powyżej. Zmiana wynagrodzenia może nastąpić na podstawie pisemnego aneksu podpisanego przez obie Strony Umowy. </w:t>
      </w:r>
    </w:p>
    <w:p w14:paraId="2716D3FD" w14:textId="77777777" w:rsidR="00516C67" w:rsidRDefault="00516C67" w:rsidP="00516C67">
      <w:pPr>
        <w:pStyle w:val="Akapitzlist"/>
        <w:numPr>
          <w:ilvl w:val="2"/>
          <w:numId w:val="24"/>
        </w:numPr>
        <w:ind w:left="993" w:hanging="273"/>
        <w:jc w:val="both"/>
        <w:rPr>
          <w:rFonts w:eastAsia="Arial"/>
          <w:szCs w:val="24"/>
        </w:rPr>
      </w:pPr>
      <w:r>
        <w:rPr>
          <w:rFonts w:eastAsia="Arial"/>
          <w:szCs w:val="24"/>
          <w:lang w:val="pl-PL"/>
        </w:rPr>
        <w:t>maksymalna wartość zmiany wynagrodzenia, jaką dopuszcza Zamawiający, to łącznie 15 % w stosunku do wartości całkowitego wynagrodzenia brutto określonego w § 3 umowy</w:t>
      </w:r>
    </w:p>
    <w:p w14:paraId="31CF5792" w14:textId="77777777" w:rsidR="00516C67" w:rsidRDefault="00516C67" w:rsidP="00516C67">
      <w:pPr>
        <w:widowControl w:val="0"/>
        <w:numPr>
          <w:ilvl w:val="0"/>
          <w:numId w:val="2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2022 poz.1710 z późn. zm ).</w:t>
      </w:r>
    </w:p>
    <w:p w14:paraId="7A5F3A87" w14:textId="77777777" w:rsidR="00516C67" w:rsidRDefault="00516C67" w:rsidP="00516C67">
      <w:pPr>
        <w:widowControl w:val="0"/>
        <w:numPr>
          <w:ilvl w:val="0"/>
          <w:numId w:val="2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3255399D" w14:textId="77777777" w:rsidR="00516C67" w:rsidRDefault="00516C67" w:rsidP="00516C67">
      <w:pPr>
        <w:widowControl w:val="0"/>
        <w:numPr>
          <w:ilvl w:val="0"/>
          <w:numId w:val="2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0A901D85" w14:textId="77777777" w:rsidR="00516C67" w:rsidRDefault="00516C67" w:rsidP="00516C67">
      <w:pPr>
        <w:widowControl w:val="0"/>
        <w:numPr>
          <w:ilvl w:val="0"/>
          <w:numId w:val="2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55C936DB" w14:textId="77777777" w:rsidR="00516C67" w:rsidRDefault="00516C67" w:rsidP="00516C67">
      <w:pPr>
        <w:widowControl w:val="0"/>
        <w:numPr>
          <w:ilvl w:val="0"/>
          <w:numId w:val="2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234A4A99" w:rsidR="00010D16" w:rsidRDefault="00010D16" w:rsidP="00516C67">
      <w:pPr>
        <w:spacing w:line="259" w:lineRule="exact"/>
        <w:ind w:left="360" w:right="6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D26B3" w14:textId="77777777" w:rsidR="00516C67" w:rsidRDefault="00516C67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1A78B" w14:textId="77777777" w:rsidR="00516C67" w:rsidRDefault="00516C67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A5EFF" w14:textId="67A27B50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067953B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51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51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1710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F28CE"/>
    <w:multiLevelType w:val="hybridMultilevel"/>
    <w:tmpl w:val="2B66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5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1"/>
  </w:num>
  <w:num w:numId="10" w16cid:durableId="1036156532">
    <w:abstractNumId w:val="6"/>
  </w:num>
  <w:num w:numId="11" w16cid:durableId="740492274">
    <w:abstractNumId w:val="18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5"/>
  </w:num>
  <w:num w:numId="22" w16cid:durableId="1668895398">
    <w:abstractNumId w:val="13"/>
  </w:num>
  <w:num w:numId="23" w16cid:durableId="140326195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4" w16cid:durableId="1286351958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159170000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12CE2"/>
    <w:rsid w:val="002B0D06"/>
    <w:rsid w:val="002E4A4D"/>
    <w:rsid w:val="002E6C91"/>
    <w:rsid w:val="00322007"/>
    <w:rsid w:val="003725AF"/>
    <w:rsid w:val="003831D9"/>
    <w:rsid w:val="003D4A68"/>
    <w:rsid w:val="003E2CDE"/>
    <w:rsid w:val="00455B04"/>
    <w:rsid w:val="004A7ABA"/>
    <w:rsid w:val="004B5504"/>
    <w:rsid w:val="00516C67"/>
    <w:rsid w:val="00547B18"/>
    <w:rsid w:val="00550BB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625C3"/>
    <w:rsid w:val="0078217A"/>
    <w:rsid w:val="008C2E7E"/>
    <w:rsid w:val="008F7EF3"/>
    <w:rsid w:val="00982F22"/>
    <w:rsid w:val="00991FD7"/>
    <w:rsid w:val="009B3CC8"/>
    <w:rsid w:val="00A01C12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276C"/>
    <w:rsid w:val="00D507FA"/>
    <w:rsid w:val="00D64C9D"/>
    <w:rsid w:val="00DD3558"/>
    <w:rsid w:val="00E43965"/>
    <w:rsid w:val="00E77588"/>
    <w:rsid w:val="00E86DFD"/>
    <w:rsid w:val="00EB226A"/>
    <w:rsid w:val="00EC61FF"/>
    <w:rsid w:val="00F66311"/>
    <w:rsid w:val="00FA718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55</cp:revision>
  <cp:lastPrinted>2022-07-11T07:38:00Z</cp:lastPrinted>
  <dcterms:created xsi:type="dcterms:W3CDTF">2021-02-01T11:56:00Z</dcterms:created>
  <dcterms:modified xsi:type="dcterms:W3CDTF">2022-12-29T12:08:00Z</dcterms:modified>
</cp:coreProperties>
</file>